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EC64E" w14:textId="42C2F2B2" w:rsidR="00781A41" w:rsidRDefault="00EC380B" w:rsidP="00F72274">
      <w:r>
        <w:rPr>
          <w:noProof/>
        </w:rPr>
        <w:drawing>
          <wp:anchor distT="0" distB="0" distL="114300" distR="114300" simplePos="0" relativeHeight="251658241" behindDoc="1" locked="0" layoutInCell="1" allowOverlap="1" wp14:anchorId="041F4AA4" wp14:editId="4BE57021">
            <wp:simplePos x="0" y="0"/>
            <wp:positionH relativeFrom="page">
              <wp:posOffset>0</wp:posOffset>
            </wp:positionH>
            <wp:positionV relativeFrom="paragraph">
              <wp:posOffset>-676910</wp:posOffset>
            </wp:positionV>
            <wp:extent cx="7559645" cy="10945495"/>
            <wp:effectExtent l="0" t="0" r="3810" b="8255"/>
            <wp:wrapNone/>
            <wp:docPr id="65988723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88723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945495"/>
                    </a:xfrm>
                    <a:prstGeom prst="rect">
                      <a:avLst/>
                    </a:prstGeom>
                  </pic:spPr>
                </pic:pic>
              </a:graphicData>
            </a:graphic>
            <wp14:sizeRelH relativeFrom="page">
              <wp14:pctWidth>0</wp14:pctWidth>
            </wp14:sizeRelH>
            <wp14:sizeRelV relativeFrom="page">
              <wp14:pctHeight>0</wp14:pctHeight>
            </wp14:sizeRelV>
          </wp:anchor>
        </w:drawing>
      </w:r>
    </w:p>
    <w:sdt>
      <w:sdtPr>
        <w:id w:val="-191923907"/>
        <w:docPartObj>
          <w:docPartGallery w:val="Cover Pages"/>
          <w:docPartUnique/>
        </w:docPartObj>
      </w:sdtPr>
      <w:sdtEndPr/>
      <w:sdtContent>
        <w:p w14:paraId="5616C746" w14:textId="573FB9AC" w:rsidR="004073BC" w:rsidRDefault="00CF7EFB" w:rsidP="00F72274">
          <w:r>
            <w:rPr>
              <w:noProof/>
            </w:rPr>
            <w:drawing>
              <wp:inline distT="0" distB="0" distL="0" distR="0" wp14:anchorId="0C624F3E" wp14:editId="3286C66E">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2E7AA23" w14:textId="77777777" w:rsidR="004073BC" w:rsidRDefault="004073BC" w:rsidP="008C1A73"/>
        <w:p w14:paraId="4C76D529" w14:textId="77777777" w:rsidR="004073BC" w:rsidRDefault="004073BC" w:rsidP="008C1A73"/>
        <w:p w14:paraId="05DC5493" w14:textId="3E15CAD6" w:rsidR="004073BC" w:rsidRDefault="004073BC" w:rsidP="008C1A73"/>
        <w:p w14:paraId="70A5343C" w14:textId="47374BE6" w:rsidR="004073BC" w:rsidRDefault="004073BC" w:rsidP="008C1A73"/>
        <w:p w14:paraId="0CD1E1C7" w14:textId="473C3768" w:rsidR="004073BC" w:rsidRDefault="004073BC" w:rsidP="008C1A73"/>
        <w:p w14:paraId="6ACF4C0F" w14:textId="7965C154" w:rsidR="00281BB1" w:rsidRDefault="00281BB1" w:rsidP="00281BB1">
          <w:pPr>
            <w:rPr>
              <w:b/>
              <w:bCs/>
              <w:color w:val="FFFFFF" w:themeColor="background1"/>
              <w:sz w:val="84"/>
              <w:szCs w:val="84"/>
            </w:rPr>
          </w:pPr>
        </w:p>
        <w:p w14:paraId="2DA5C134" w14:textId="7771ED19" w:rsidR="00801105" w:rsidRDefault="00281BB1" w:rsidP="00801105">
          <w:pPr>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777739AE" wp14:editId="41D8ADCF">
                    <wp:simplePos x="0" y="0"/>
                    <wp:positionH relativeFrom="column">
                      <wp:posOffset>153035</wp:posOffset>
                    </wp:positionH>
                    <wp:positionV relativeFrom="paragraph">
                      <wp:posOffset>5412105</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30772D42" w14:textId="46F3A547" w:rsidR="00281BB1" w:rsidRPr="009A240D" w:rsidRDefault="007B5A6A" w:rsidP="00281BB1">
                                <w:pPr>
                                  <w:pStyle w:val="BodyText1"/>
                                  <w:rPr>
                                    <w:color w:val="FFFFFF" w:themeColor="background1"/>
                                  </w:rPr>
                                </w:pPr>
                                <w:r>
                                  <w:rPr>
                                    <w:color w:val="FFFFFF" w:themeColor="background1"/>
                                  </w:rPr>
                                  <w:t>Ju</w:t>
                                </w:r>
                                <w:r w:rsidR="00781A41">
                                  <w:rPr>
                                    <w:color w:val="FFFFFF" w:themeColor="background1"/>
                                  </w:rPr>
                                  <w:t xml:space="preserve">ly </w:t>
                                </w:r>
                                <w:r w:rsidR="00AC290C">
                                  <w:rPr>
                                    <w:color w:val="FFFFFF" w:themeColor="background1"/>
                                  </w:rPr>
                                  <w:t>202</w:t>
                                </w:r>
                                <w:r w:rsidR="001E26D5">
                                  <w:rPr>
                                    <w:color w:val="FFFFFF" w:themeColor="background1"/>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7739AE" id="_x0000_t202" coordsize="21600,21600" o:spt="202" path="m,l,21600r21600,l21600,xe">
                    <v:stroke joinstyle="miter"/>
                    <v:path gradientshapeok="t" o:connecttype="rect"/>
                  </v:shapetype>
                  <v:shape id="Text Box 3" o:spid="_x0000_s1026" type="#_x0000_t202" alt="&quot;&quot;" style="position:absolute;margin-left:12.05pt;margin-top:426.15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" filled="f" stroked="f" strokeweight=".5pt">
                    <v:textbox inset="0,0,0,0">
                      <w:txbxContent>
                        <w:p w14:paraId="30772D42" w14:textId="46F3A547" w:rsidR="00281BB1" w:rsidRPr="009A240D" w:rsidRDefault="007B5A6A" w:rsidP="00281BB1">
                          <w:pPr>
                            <w:pStyle w:val="BodyText1"/>
                            <w:rPr>
                              <w:color w:val="FFFFFF" w:themeColor="background1"/>
                            </w:rPr>
                          </w:pPr>
                          <w:r>
                            <w:rPr>
                              <w:color w:val="FFFFFF" w:themeColor="background1"/>
                            </w:rPr>
                            <w:t>Ju</w:t>
                          </w:r>
                          <w:r w:rsidR="00781A41">
                            <w:rPr>
                              <w:color w:val="FFFFFF" w:themeColor="background1"/>
                            </w:rPr>
                            <w:t xml:space="preserve">ly </w:t>
                          </w:r>
                          <w:r w:rsidR="00AC290C">
                            <w:rPr>
                              <w:color w:val="FFFFFF" w:themeColor="background1"/>
                            </w:rPr>
                            <w:t>202</w:t>
                          </w:r>
                          <w:r w:rsidR="001E26D5">
                            <w:rPr>
                              <w:color w:val="FFFFFF" w:themeColor="background1"/>
                            </w:rPr>
                            <w:t>4</w:t>
                          </w:r>
                        </w:p>
                      </w:txbxContent>
                    </v:textbox>
                    <w10:anchorlock/>
                  </v:shape>
                </w:pict>
              </mc:Fallback>
            </mc:AlternateContent>
          </w:r>
          <w:r w:rsidR="00AC290C">
            <w:rPr>
              <w:b/>
              <w:bCs/>
              <w:color w:val="FFFFFF" w:themeColor="background1"/>
              <w:sz w:val="84"/>
              <w:szCs w:val="84"/>
            </w:rPr>
            <w:t>Flood Risk and Land Use Vulnerability Guidance</w:t>
          </w:r>
        </w:p>
        <w:p w14:paraId="6BAB7FA3" w14:textId="7F0AE24C" w:rsidR="00090B7A" w:rsidRDefault="008C1A73" w:rsidP="00090B7A">
          <w:r>
            <w:br w:type="page"/>
          </w:r>
        </w:p>
      </w:sdtContent>
    </w:sdt>
    <w:sdt>
      <w:sdtPr>
        <w:id w:val="592676998"/>
        <w:docPartObj>
          <w:docPartGallery w:val="Cover Pages"/>
          <w:docPartUnique/>
        </w:docPartObj>
      </w:sdtPr>
      <w:sdtEndPr/>
      <w:sdtContent>
        <w:p w14:paraId="7A8A802E" w14:textId="77777777" w:rsidR="009E5D98" w:rsidRDefault="009E5D98" w:rsidP="009E5D98">
          <w:r>
            <w:t xml:space="preserve">This document will be reviewed approximately six months from the date of publication. Any comments or suggestions on the content should be emailed to </w:t>
          </w:r>
          <w:hyperlink r:id="rId13" w:history="1">
            <w:r w:rsidRPr="00384191">
              <w:rPr>
                <w:rStyle w:val="Hyperlink"/>
              </w:rPr>
              <w:t>elaine.fotheringham@sepa.org.uk</w:t>
            </w:r>
          </w:hyperlink>
          <w:r>
            <w:t xml:space="preserve"> and will be considered as part of the review. </w:t>
          </w:r>
        </w:p>
        <w:p w14:paraId="5AE767EB" w14:textId="2E644E70" w:rsidR="009E5D98" w:rsidRDefault="009E5D98" w:rsidP="00090B7A"/>
        <w:p w14:paraId="55853AAF" w14:textId="64EFB45E" w:rsidR="00AC290C" w:rsidRPr="00FE2B23" w:rsidRDefault="00AC290C" w:rsidP="003E6EA2">
          <w:pPr>
            <w:pStyle w:val="Heading1"/>
          </w:pPr>
          <w:r w:rsidRPr="00AC290C">
            <w:t>Flood Risk and Land Use Vulnerability Guidance</w:t>
          </w:r>
        </w:p>
        <w:p w14:paraId="7768206B" w14:textId="25C30852" w:rsidR="00AC290C" w:rsidRPr="00AC290C" w:rsidRDefault="00AC290C" w:rsidP="003E6EA2">
          <w:pPr>
            <w:pStyle w:val="Heading2"/>
          </w:pPr>
          <w:r w:rsidRPr="00AC290C">
            <w:t xml:space="preserve">Context </w:t>
          </w:r>
        </w:p>
        <w:p w14:paraId="70B09C8F" w14:textId="3C737063" w:rsidR="00AC290C" w:rsidRPr="00AC290C" w:rsidRDefault="00AC290C" w:rsidP="00AC290C">
          <w:pPr>
            <w:spacing w:after="4"/>
          </w:pPr>
          <w:r w:rsidRPr="00AC290C">
            <w:t xml:space="preserve">This guidance supports </w:t>
          </w:r>
          <w:hyperlink r:id="rId14" w:history="1">
            <w:r w:rsidR="00EB0270" w:rsidRPr="00B93956">
              <w:rPr>
                <w:rStyle w:val="Hyperlink"/>
              </w:rPr>
              <w:t>P</w:t>
            </w:r>
            <w:r w:rsidRPr="00B93956">
              <w:rPr>
                <w:rStyle w:val="Hyperlink"/>
              </w:rPr>
              <w:t>olicy 22 of the National Planning Framework 4 (NPF4)</w:t>
            </w:r>
          </w:hyperlink>
          <w:r w:rsidRPr="00B93956">
            <w:t xml:space="preserve"> by explaining</w:t>
          </w:r>
          <w:r w:rsidRPr="00AC290C">
            <w:t xml:space="preserve"> vulnerability in a flooding context, and the relative vulnerability of different land uses to flooding. </w:t>
          </w:r>
          <w:r w:rsidR="009667F7">
            <w:t>Policy 22 sets out</w:t>
          </w:r>
          <w:r w:rsidRPr="00AC290C">
            <w:t xml:space="preserve"> exceptions where development can be permitted in a flood risk area. This guidance aims to support application of the first three of those exceptions, specifically</w:t>
          </w:r>
          <w:r w:rsidR="005A3758">
            <w:t xml:space="preserve"> the emboldened terms</w:t>
          </w:r>
          <w:r w:rsidRPr="00AC290C">
            <w:t xml:space="preserve">: </w:t>
          </w:r>
        </w:p>
        <w:p w14:paraId="4273052C" w14:textId="77777777" w:rsidR="00AC290C" w:rsidRPr="00AC290C" w:rsidRDefault="00AC290C" w:rsidP="00AC290C">
          <w:pPr>
            <w:spacing w:after="4"/>
          </w:pPr>
        </w:p>
        <w:p w14:paraId="519A4020" w14:textId="77777777" w:rsidR="00AC290C" w:rsidRPr="00AC290C" w:rsidRDefault="00AC290C" w:rsidP="00AC290C">
          <w:pPr>
            <w:numPr>
              <w:ilvl w:val="0"/>
              <w:numId w:val="15"/>
            </w:numPr>
            <w:spacing w:after="4"/>
            <w:contextualSpacing/>
          </w:pPr>
          <w:r w:rsidRPr="00AC290C">
            <w:rPr>
              <w:b/>
              <w:bCs/>
            </w:rPr>
            <w:t>Essential infrastructure</w:t>
          </w:r>
          <w:r w:rsidRPr="00AC290C">
            <w:t xml:space="preserve"> where the location is required for operational reasons. </w:t>
          </w:r>
        </w:p>
        <w:p w14:paraId="259AEEFB" w14:textId="77777777" w:rsidR="00AC290C" w:rsidRPr="00AC290C" w:rsidRDefault="00AC290C" w:rsidP="00AC290C">
          <w:pPr>
            <w:numPr>
              <w:ilvl w:val="0"/>
              <w:numId w:val="15"/>
            </w:numPr>
            <w:spacing w:after="4"/>
            <w:contextualSpacing/>
          </w:pPr>
          <w:r w:rsidRPr="00AC290C">
            <w:rPr>
              <w:b/>
              <w:bCs/>
            </w:rPr>
            <w:t>Water compatible uses</w:t>
          </w:r>
          <w:r w:rsidRPr="00AC290C">
            <w:t>; and</w:t>
          </w:r>
        </w:p>
        <w:p w14:paraId="43CEE77A" w14:textId="77777777" w:rsidR="00AC290C" w:rsidRPr="00AC290C" w:rsidRDefault="00AC290C" w:rsidP="00AC290C">
          <w:pPr>
            <w:numPr>
              <w:ilvl w:val="0"/>
              <w:numId w:val="15"/>
            </w:numPr>
            <w:spacing w:after="4"/>
            <w:contextualSpacing/>
          </w:pPr>
          <w:r w:rsidRPr="00AC290C">
            <w:t xml:space="preserve">Redevelopment of an existing building or site for </w:t>
          </w:r>
          <w:r w:rsidRPr="00AC290C">
            <w:rPr>
              <w:b/>
              <w:bCs/>
            </w:rPr>
            <w:t>an equal or less vulnerable use</w:t>
          </w:r>
          <w:r w:rsidRPr="00AC290C">
            <w:t xml:space="preserve">. </w:t>
          </w:r>
        </w:p>
        <w:p w14:paraId="0788BC51" w14:textId="77777777" w:rsidR="00090B7A" w:rsidRDefault="00090B7A" w:rsidP="00AC290C">
          <w:pPr>
            <w:spacing w:after="240"/>
          </w:pPr>
        </w:p>
        <w:p w14:paraId="444EC785" w14:textId="77777777" w:rsidR="00090B7A" w:rsidRDefault="00090B7A" w:rsidP="00AC290C">
          <w:pPr>
            <w:spacing w:after="240"/>
          </w:pPr>
        </w:p>
        <w:p w14:paraId="18FD655C" w14:textId="77777777" w:rsidR="00090B7A" w:rsidRDefault="00090B7A" w:rsidP="00AC290C">
          <w:pPr>
            <w:spacing w:after="240"/>
          </w:pPr>
        </w:p>
        <w:p w14:paraId="70AD175C" w14:textId="77777777" w:rsidR="00090B7A" w:rsidRDefault="00090B7A" w:rsidP="00AC290C">
          <w:pPr>
            <w:spacing w:after="240"/>
          </w:pPr>
        </w:p>
        <w:p w14:paraId="58642233" w14:textId="77777777" w:rsidR="00090B7A" w:rsidRDefault="00090B7A" w:rsidP="00AC290C">
          <w:pPr>
            <w:spacing w:after="240"/>
          </w:pPr>
        </w:p>
        <w:p w14:paraId="2E91B8F8" w14:textId="77777777" w:rsidR="00090B7A" w:rsidRDefault="00090B7A" w:rsidP="00AC290C">
          <w:pPr>
            <w:spacing w:after="240"/>
          </w:pPr>
        </w:p>
        <w:p w14:paraId="5201802F" w14:textId="77777777" w:rsidR="00090B7A" w:rsidRDefault="00090B7A" w:rsidP="00AC290C">
          <w:pPr>
            <w:spacing w:after="240"/>
          </w:pPr>
        </w:p>
        <w:p w14:paraId="62992611" w14:textId="77777777" w:rsidR="00090B7A" w:rsidRDefault="00090B7A" w:rsidP="00AC290C">
          <w:pPr>
            <w:spacing w:after="240"/>
          </w:pPr>
        </w:p>
        <w:p w14:paraId="1285BC0B" w14:textId="77777777" w:rsidR="00090B7A" w:rsidRDefault="00090B7A" w:rsidP="00AC290C">
          <w:pPr>
            <w:spacing w:after="240"/>
          </w:pPr>
        </w:p>
        <w:p w14:paraId="1E8B1FC6" w14:textId="77777777" w:rsidR="00090B7A" w:rsidRDefault="00090B7A" w:rsidP="00AC290C">
          <w:pPr>
            <w:spacing w:after="240"/>
          </w:pPr>
        </w:p>
        <w:p w14:paraId="4114ADAE" w14:textId="30DF6D15" w:rsidR="00AC290C" w:rsidRPr="00AC290C" w:rsidRDefault="00AC290C" w:rsidP="00E06CB6">
          <w:pPr>
            <w:pStyle w:val="Heading2"/>
          </w:pPr>
          <w:r w:rsidRPr="00AC290C">
            <w:lastRenderedPageBreak/>
            <w:t>What is ‘vulnerability’ in a flooding context?</w:t>
          </w:r>
        </w:p>
        <w:p w14:paraId="5157C500" w14:textId="77777777" w:rsidR="00AC290C" w:rsidRPr="00AC290C" w:rsidRDefault="00AC290C" w:rsidP="00AC290C">
          <w:pPr>
            <w:spacing w:after="4"/>
          </w:pPr>
          <w:r w:rsidRPr="00AC290C">
            <w:t xml:space="preserve">Vulnerability is a key factor of flood risk. The greater the vulnerability, the greater the risk. </w:t>
          </w:r>
        </w:p>
        <w:p w14:paraId="2F2D7435" w14:textId="77777777" w:rsidR="00AC290C" w:rsidRPr="00AC290C" w:rsidRDefault="00AC290C" w:rsidP="00AC290C">
          <w:pPr>
            <w:spacing w:after="4"/>
          </w:pPr>
        </w:p>
        <w:p w14:paraId="7DCFDB9C" w14:textId="77777777" w:rsidR="00AC290C" w:rsidRPr="00AC290C" w:rsidRDefault="00AC290C" w:rsidP="00AC290C">
          <w:pPr>
            <w:spacing w:after="4"/>
          </w:pPr>
          <w:r w:rsidRPr="00AC290C">
            <w:rPr>
              <w:noProof/>
            </w:rPr>
            <w:drawing>
              <wp:inline distT="0" distB="0" distL="0" distR="0" wp14:anchorId="7C30C343" wp14:editId="25493FEC">
                <wp:extent cx="6374920" cy="1293962"/>
                <wp:effectExtent l="0" t="0" r="26035" b="0"/>
                <wp:docPr id="1373189175" name="Diagram 6" descr="Image showing risk = Hazard x vulnerability">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2A28DF04" w14:textId="77777777" w:rsidR="00AC290C" w:rsidRPr="00AC290C" w:rsidRDefault="00AC290C" w:rsidP="00AC290C">
          <w:pPr>
            <w:spacing w:after="4"/>
          </w:pPr>
        </w:p>
        <w:p w14:paraId="7D00734B" w14:textId="77777777" w:rsidR="00AC290C" w:rsidRPr="00AC290C" w:rsidRDefault="00AC290C" w:rsidP="00AC290C">
          <w:pPr>
            <w:spacing w:after="4"/>
          </w:pPr>
          <w:r w:rsidRPr="00AC290C">
            <w:t xml:space="preserve">The relative vulnerability of a land use or development to flooding has four components: </w:t>
          </w:r>
        </w:p>
        <w:p w14:paraId="1553F218" w14:textId="77777777" w:rsidR="00AC290C" w:rsidRPr="00AC290C" w:rsidRDefault="00AC290C" w:rsidP="00AC290C">
          <w:pPr>
            <w:spacing w:after="4"/>
          </w:pPr>
        </w:p>
        <w:p w14:paraId="507B4148" w14:textId="77777777" w:rsidR="00AC290C" w:rsidRPr="00AC290C" w:rsidRDefault="00AC290C" w:rsidP="00AC290C">
          <w:pPr>
            <w:spacing w:after="4"/>
          </w:pPr>
        </w:p>
        <w:p w14:paraId="23845AB3" w14:textId="6C0EA2B3" w:rsidR="00AC290C" w:rsidRPr="00AC290C" w:rsidRDefault="0070317F" w:rsidP="00AC290C">
          <w:pPr>
            <w:spacing w:after="240"/>
            <w:rPr>
              <w:highlight w:val="yellow"/>
            </w:rPr>
          </w:pPr>
          <w:r w:rsidRPr="00AC290C">
            <w:rPr>
              <w:rFonts w:ascii="Arial" w:eastAsiaTheme="majorEastAsia" w:hAnsi="Arial" w:cstheme="majorBidi"/>
              <w:b/>
              <w:noProof/>
              <w:color w:val="016574" w:themeColor="accent2"/>
              <w:sz w:val="32"/>
              <w:szCs w:val="26"/>
            </w:rPr>
            <mc:AlternateContent>
              <mc:Choice Requires="wps">
                <w:drawing>
                  <wp:anchor distT="0" distB="0" distL="114300" distR="114300" simplePos="0" relativeHeight="251658243" behindDoc="0" locked="0" layoutInCell="1" allowOverlap="1" wp14:anchorId="5B427A01" wp14:editId="5FC43D71">
                    <wp:simplePos x="0" y="0"/>
                    <wp:positionH relativeFrom="margin">
                      <wp:posOffset>2673985</wp:posOffset>
                    </wp:positionH>
                    <wp:positionV relativeFrom="paragraph">
                      <wp:posOffset>1884045</wp:posOffset>
                    </wp:positionV>
                    <wp:extent cx="1428750" cy="317500"/>
                    <wp:effectExtent l="0" t="0" r="0" b="6350"/>
                    <wp:wrapNone/>
                    <wp:docPr id="873210735" name="Text Box 8732107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428750" cy="317500"/>
                            </a:xfrm>
                            <a:prstGeom prst="rect">
                              <a:avLst/>
                            </a:prstGeom>
                            <a:noFill/>
                            <a:ln w="6350">
                              <a:noFill/>
                            </a:ln>
                          </wps:spPr>
                          <wps:txbx>
                            <w:txbxContent>
                              <w:p w14:paraId="6E3CDFFA" w14:textId="77777777" w:rsidR="00AC290C" w:rsidRPr="0070317F" w:rsidRDefault="00AC290C" w:rsidP="00AC290C">
                                <w:pPr>
                                  <w:rPr>
                                    <w:b/>
                                    <w:bCs/>
                                    <w:sz w:val="28"/>
                                    <w:szCs w:val="28"/>
                                  </w:rPr>
                                </w:pPr>
                                <w:r w:rsidRPr="0070317F">
                                  <w:rPr>
                                    <w:rFonts w:ascii="Arial" w:eastAsiaTheme="majorEastAsia" w:hAnsi="Arial" w:cstheme="majorBidi"/>
                                    <w:b/>
                                    <w:color w:val="016574" w:themeColor="accent2"/>
                                    <w:sz w:val="28"/>
                                    <w:szCs w:val="28"/>
                                  </w:rPr>
                                  <w:t>Vulnerability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27A01" id="Text Box 873210735" o:spid="_x0000_s1027" type="#_x0000_t202" alt="&quot;&quot;" style="position:absolute;margin-left:210.55pt;margin-top:148.35pt;width:112.5pt;height: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" filled="f" stroked="f" strokeweight=".5pt">
                    <v:textbox>
                      <w:txbxContent>
                        <w:p w14:paraId="6E3CDFFA" w14:textId="77777777" w:rsidR="00AC290C" w:rsidRPr="0070317F" w:rsidRDefault="00AC290C" w:rsidP="00AC290C">
                          <w:pPr>
                            <w:rPr>
                              <w:b/>
                              <w:bCs/>
                              <w:sz w:val="28"/>
                              <w:szCs w:val="28"/>
                            </w:rPr>
                          </w:pPr>
                          <w:r w:rsidRPr="0070317F">
                            <w:rPr>
                              <w:rFonts w:ascii="Arial" w:eastAsiaTheme="majorEastAsia" w:hAnsi="Arial" w:cstheme="majorBidi"/>
                              <w:b/>
                              <w:color w:val="016574" w:themeColor="accent2"/>
                              <w:sz w:val="28"/>
                              <w:szCs w:val="28"/>
                            </w:rPr>
                            <w:t>Vulnerability</w:t>
                          </w:r>
                        </w:p>
                      </w:txbxContent>
                    </v:textbox>
                    <w10:wrap anchorx="margin"/>
                  </v:shape>
                </w:pict>
              </mc:Fallback>
            </mc:AlternateContent>
          </w:r>
          <w:r w:rsidRPr="00AC290C">
            <w:rPr>
              <w:rFonts w:ascii="Arial" w:eastAsiaTheme="majorEastAsia" w:hAnsi="Arial" w:cstheme="majorBidi"/>
              <w:b/>
              <w:noProof/>
              <w:color w:val="016574" w:themeColor="accent2"/>
              <w:sz w:val="32"/>
              <w:szCs w:val="26"/>
            </w:rPr>
            <mc:AlternateContent>
              <mc:Choice Requires="wps">
                <w:drawing>
                  <wp:anchor distT="0" distB="0" distL="114300" distR="114300" simplePos="0" relativeHeight="251658242" behindDoc="0" locked="0" layoutInCell="1" allowOverlap="1" wp14:anchorId="1E846164" wp14:editId="13F36A75">
                    <wp:simplePos x="0" y="0"/>
                    <wp:positionH relativeFrom="margin">
                      <wp:posOffset>2616835</wp:posOffset>
                    </wp:positionH>
                    <wp:positionV relativeFrom="paragraph">
                      <wp:posOffset>1610995</wp:posOffset>
                    </wp:positionV>
                    <wp:extent cx="1384300" cy="885190"/>
                    <wp:effectExtent l="0" t="0" r="6350" b="0"/>
                    <wp:wrapNone/>
                    <wp:docPr id="110805862" name="Oval 1108058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84300" cy="885190"/>
                            </a:xfrm>
                            <a:prstGeom prst="ellipse">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75FE89" id="Oval 110805862" o:spid="_x0000_s1026" alt="&quot;&quot;" style="position:absolute;margin-left:206.05pt;margin-top:126.85pt;width:109pt;height:69.7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" stroked="f" strokeweight="1pt">
                    <v:stroke joinstyle="miter"/>
                    <w10:wrap anchorx="margin"/>
                  </v:oval>
                </w:pict>
              </mc:Fallback>
            </mc:AlternateContent>
          </w:r>
          <w:r w:rsidR="00AC290C" w:rsidRPr="00AC290C">
            <w:rPr>
              <w:rFonts w:ascii="Arial" w:eastAsiaTheme="majorEastAsia" w:hAnsi="Arial" w:cstheme="majorBidi"/>
              <w:b/>
              <w:noProof/>
              <w:color w:val="016574" w:themeColor="accent2"/>
              <w:sz w:val="32"/>
              <w:szCs w:val="26"/>
            </w:rPr>
            <w:drawing>
              <wp:inline distT="0" distB="0" distL="0" distR="0" wp14:anchorId="24BAFEBA" wp14:editId="280A724C">
                <wp:extent cx="6663193" cy="4166484"/>
                <wp:effectExtent l="0" t="0" r="0" b="0"/>
                <wp:docPr id="1145488597" name="Diagram 3" descr="Image showing that vulnerability of a land use or development to flooding has four components:&#10;- Resilience to recover from flooding.&#10;- Community impact of being flooded.&#10;- Susceptibility to be harmed by flooding.&#10;- Potential to adapt to increased flooding in futur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0E47DB81" w14:textId="77777777" w:rsidR="00091CB2" w:rsidRDefault="00091CB2" w:rsidP="00AC290C">
          <w:pPr>
            <w:spacing w:after="240"/>
          </w:pPr>
        </w:p>
        <w:p w14:paraId="76E9623A" w14:textId="77777777" w:rsidR="005C29B7" w:rsidRDefault="005C29B7" w:rsidP="00AC290C">
          <w:pPr>
            <w:spacing w:after="240"/>
            <w:rPr>
              <w:rFonts w:ascii="Arial" w:eastAsiaTheme="majorEastAsia" w:hAnsi="Arial" w:cstheme="majorBidi"/>
              <w:b/>
              <w:color w:val="016574" w:themeColor="accent6"/>
              <w:sz w:val="32"/>
              <w:szCs w:val="32"/>
            </w:rPr>
          </w:pPr>
        </w:p>
        <w:p w14:paraId="07C05138" w14:textId="05285249" w:rsidR="00091CB2" w:rsidRDefault="00091CB2" w:rsidP="005C29B7">
          <w:pPr>
            <w:pStyle w:val="Heading2"/>
          </w:pPr>
          <w:r w:rsidRPr="00091CB2">
            <w:lastRenderedPageBreak/>
            <w:t>Vulnerability categories</w:t>
          </w:r>
        </w:p>
        <w:p w14:paraId="27983BF4" w14:textId="7D4ACFB0" w:rsidR="00AC290C" w:rsidRPr="00091CB2" w:rsidRDefault="00AC290C" w:rsidP="00AC290C">
          <w:pPr>
            <w:spacing w:after="240"/>
            <w:rPr>
              <w:rFonts w:ascii="Arial" w:eastAsiaTheme="majorEastAsia" w:hAnsi="Arial" w:cstheme="majorBidi"/>
              <w:b/>
              <w:color w:val="016574" w:themeColor="accent6"/>
              <w:sz w:val="32"/>
              <w:szCs w:val="32"/>
            </w:rPr>
          </w:pPr>
          <w:hyperlink w:anchor="Table1" w:history="1">
            <w:r w:rsidRPr="005158B1">
              <w:rPr>
                <w:rStyle w:val="Hyperlink"/>
              </w:rPr>
              <w:t>Table 1</w:t>
            </w:r>
          </w:hyperlink>
          <w:r w:rsidRPr="00AC290C">
            <w:t xml:space="preserve"> categorises land uses and developments by their vulnerability taking the components above into account. All development that floods is inherently vulnerable making this categorisation relative rather than absolute. The five categories of vulnerability are:</w:t>
          </w:r>
        </w:p>
        <w:p w14:paraId="1640B897" w14:textId="77777777" w:rsidR="00AC290C" w:rsidRPr="00AC290C" w:rsidRDefault="00AC290C" w:rsidP="00AC290C">
          <w:pPr>
            <w:numPr>
              <w:ilvl w:val="0"/>
              <w:numId w:val="14"/>
            </w:numPr>
            <w:spacing w:after="4"/>
            <w:contextualSpacing/>
          </w:pPr>
          <w:r w:rsidRPr="00AC290C">
            <w:t>Most vulnerable uses</w:t>
          </w:r>
        </w:p>
        <w:p w14:paraId="4BF62E21" w14:textId="77777777" w:rsidR="00AC290C" w:rsidRPr="00AC290C" w:rsidRDefault="00AC290C" w:rsidP="00AC290C">
          <w:pPr>
            <w:numPr>
              <w:ilvl w:val="0"/>
              <w:numId w:val="14"/>
            </w:numPr>
            <w:spacing w:after="4"/>
            <w:contextualSpacing/>
          </w:pPr>
          <w:r w:rsidRPr="00AC290C">
            <w:t>Highly vulnerable uses</w:t>
          </w:r>
        </w:p>
        <w:p w14:paraId="3E548773" w14:textId="77777777" w:rsidR="00AC290C" w:rsidRPr="00AC290C" w:rsidRDefault="00AC290C" w:rsidP="00AC290C">
          <w:pPr>
            <w:numPr>
              <w:ilvl w:val="0"/>
              <w:numId w:val="14"/>
            </w:numPr>
            <w:spacing w:after="4"/>
            <w:contextualSpacing/>
          </w:pPr>
          <w:r w:rsidRPr="00AC290C">
            <w:t>Least vulnerable uses</w:t>
          </w:r>
        </w:p>
        <w:p w14:paraId="4BDD09FD" w14:textId="77777777" w:rsidR="00AC290C" w:rsidRPr="00AC290C" w:rsidRDefault="00AC290C" w:rsidP="00AC290C">
          <w:pPr>
            <w:numPr>
              <w:ilvl w:val="0"/>
              <w:numId w:val="14"/>
            </w:numPr>
            <w:spacing w:after="4"/>
            <w:contextualSpacing/>
          </w:pPr>
          <w:r w:rsidRPr="00AC290C">
            <w:t>Essential infrastructure</w:t>
          </w:r>
        </w:p>
        <w:p w14:paraId="79D50620" w14:textId="77777777" w:rsidR="00AC290C" w:rsidRPr="00AC290C" w:rsidRDefault="00AC290C" w:rsidP="00AC290C">
          <w:pPr>
            <w:numPr>
              <w:ilvl w:val="0"/>
              <w:numId w:val="14"/>
            </w:numPr>
            <w:spacing w:after="4"/>
            <w:contextualSpacing/>
          </w:pPr>
          <w:r w:rsidRPr="00AC290C">
            <w:t>Water compatible uses</w:t>
          </w:r>
        </w:p>
        <w:p w14:paraId="7C58E3F2" w14:textId="77777777" w:rsidR="00AC290C" w:rsidRPr="00AC290C" w:rsidRDefault="00AC290C" w:rsidP="00AC290C">
          <w:pPr>
            <w:spacing w:after="4"/>
            <w:ind w:left="720"/>
            <w:contextualSpacing/>
          </w:pPr>
        </w:p>
        <w:p w14:paraId="792DB186" w14:textId="5D47B9C3" w:rsidR="00AC290C" w:rsidRPr="00AC290C" w:rsidRDefault="00AC290C" w:rsidP="005C29B7">
          <w:pPr>
            <w:pStyle w:val="Heading2"/>
          </w:pPr>
          <w:r w:rsidRPr="4C1686F6">
            <w:t xml:space="preserve">Essential </w:t>
          </w:r>
          <w:r w:rsidR="00CB2A0E">
            <w:t>I</w:t>
          </w:r>
          <w:r w:rsidRPr="4C1686F6">
            <w:t xml:space="preserve">nfrastructure and </w:t>
          </w:r>
          <w:r w:rsidR="00CB2A0E">
            <w:t>W</w:t>
          </w:r>
          <w:r w:rsidRPr="4C1686F6">
            <w:t xml:space="preserve">ater </w:t>
          </w:r>
          <w:r w:rsidR="00CB2A0E">
            <w:t>C</w:t>
          </w:r>
          <w:r w:rsidRPr="4C1686F6">
            <w:t xml:space="preserve">ompatible </w:t>
          </w:r>
          <w:r w:rsidR="00ED5C68">
            <w:t>U</w:t>
          </w:r>
          <w:r w:rsidRPr="4C1686F6">
            <w:t>ses</w:t>
          </w:r>
        </w:p>
        <w:p w14:paraId="4C118B5E" w14:textId="53B8A481" w:rsidR="00AC290C" w:rsidRDefault="00AC290C" w:rsidP="00AC290C">
          <w:pPr>
            <w:spacing w:after="4"/>
          </w:pPr>
          <w:r w:rsidRPr="00AC290C">
            <w:t xml:space="preserve">Essential infrastructure and water compatible uses are defined </w:t>
          </w:r>
          <w:hyperlink r:id="rId25" w:history="1">
            <w:r w:rsidRPr="00CD1315">
              <w:rPr>
                <w:rStyle w:val="Hyperlink"/>
              </w:rPr>
              <w:t>in the glossary of NPF4</w:t>
            </w:r>
          </w:hyperlink>
          <w:r w:rsidRPr="00AC290C">
            <w:t xml:space="preserve">. These definitions are included in </w:t>
          </w:r>
          <w:r w:rsidR="00CD1315">
            <w:t>T</w:t>
          </w:r>
          <w:r w:rsidRPr="00AC290C">
            <w:t xml:space="preserve">able </w:t>
          </w:r>
          <w:r w:rsidR="00CD1315">
            <w:t xml:space="preserve">1 </w:t>
          </w:r>
          <w:r w:rsidRPr="00AC290C">
            <w:t xml:space="preserve">below for completeness, and to help understand relative vulnerability when considering changing between vulnerability categories. </w:t>
          </w:r>
          <w:r w:rsidR="00517F9C" w:rsidRPr="00ED5C68">
            <w:t>Pl</w:t>
          </w:r>
          <w:r w:rsidR="00DB50C7" w:rsidRPr="00ED5C68">
            <w:t>anning authorities should</w:t>
          </w:r>
          <w:r w:rsidR="00517F9C" w:rsidRPr="00ED5C68">
            <w:t xml:space="preserve"> </w:t>
          </w:r>
          <w:r w:rsidR="00312FA6" w:rsidRPr="00ED5C68">
            <w:t>consider whether</w:t>
          </w:r>
          <w:r w:rsidR="00517F9C" w:rsidRPr="00ED5C68">
            <w:t xml:space="preserve"> </w:t>
          </w:r>
          <w:hyperlink r:id="rId26" w:history="1">
            <w:r w:rsidR="004A5FBB" w:rsidRPr="00AC788D">
              <w:rPr>
                <w:rStyle w:val="Hyperlink"/>
              </w:rPr>
              <w:t xml:space="preserve">SEPA’s </w:t>
            </w:r>
            <w:r w:rsidR="00517F9C" w:rsidRPr="00AC788D">
              <w:rPr>
                <w:rStyle w:val="Hyperlink"/>
              </w:rPr>
              <w:t>Standing Advice</w:t>
            </w:r>
          </w:hyperlink>
          <w:r w:rsidR="00517F9C" w:rsidRPr="00ED5C68">
            <w:t xml:space="preserve"> </w:t>
          </w:r>
          <w:r w:rsidR="00966B69" w:rsidRPr="00ED5C68">
            <w:t>applies</w:t>
          </w:r>
          <w:r w:rsidR="00AC4B06" w:rsidRPr="00ED5C68">
            <w:t xml:space="preserve"> to development deemed to fall within th</w:t>
          </w:r>
          <w:r w:rsidR="00861BFD" w:rsidRPr="00ED5C68">
            <w:t>e Essential Infrastructure</w:t>
          </w:r>
          <w:r w:rsidR="00BE5AA6" w:rsidRPr="00ED5C68">
            <w:t xml:space="preserve"> </w:t>
          </w:r>
          <w:r w:rsidR="00494270" w:rsidRPr="00ED5C68">
            <w:t xml:space="preserve">or Water Compatible Uses </w:t>
          </w:r>
          <w:r w:rsidR="00BE5AA6" w:rsidRPr="00ED5C68">
            <w:t>categories</w:t>
          </w:r>
          <w:r w:rsidR="002F6689" w:rsidRPr="00ED5C68">
            <w:t>.</w:t>
          </w:r>
          <w:r w:rsidR="002F6689">
            <w:t xml:space="preserve"> </w:t>
          </w:r>
          <w:r w:rsidR="00BE5AA6">
            <w:t xml:space="preserve"> </w:t>
          </w:r>
        </w:p>
        <w:p w14:paraId="72D009D3" w14:textId="77777777" w:rsidR="00AC4B06" w:rsidRPr="00AC290C" w:rsidRDefault="00AC4B06" w:rsidP="00AC290C">
          <w:pPr>
            <w:spacing w:after="4"/>
          </w:pPr>
        </w:p>
        <w:p w14:paraId="581C82FE" w14:textId="77777777" w:rsidR="00AC290C" w:rsidRPr="00AC290C" w:rsidRDefault="00AC290C" w:rsidP="005C29B7">
          <w:pPr>
            <w:pStyle w:val="Heading2"/>
          </w:pPr>
          <w:r w:rsidRPr="00AC290C">
            <w:t>Equal or less vulnerable uses</w:t>
          </w:r>
        </w:p>
        <w:p w14:paraId="454BEB53" w14:textId="6AFD2AEE" w:rsidR="00AC290C" w:rsidRPr="00AC290C" w:rsidRDefault="00AC290C" w:rsidP="00AC290C">
          <w:pPr>
            <w:spacing w:after="4"/>
          </w:pPr>
          <w:r w:rsidRPr="00AC290C">
            <w:t xml:space="preserve">Redeveloping existing buildings and sites within the flood risk area offers an opportunity to reduce flood risk, allowing existing communities to adapt incrementally to flooding over time. In most cases betterment can be achieved by redeveloping these sites for uses that are equally or less vulnerable than previously. </w:t>
          </w:r>
          <w:r w:rsidR="008A05B7">
            <w:t>However, it</w:t>
          </w:r>
          <w:r w:rsidR="008B3A98" w:rsidRPr="006C0162">
            <w:t xml:space="preserve"> may not always be the case that redevelopment for an equal or less vulnerable use alone will result in an equal or reduced overall vulnerability to flooding, particularly for developments which remain in the most or highly vulnerable categories. As well as the categorisation in </w:t>
          </w:r>
          <w:hyperlink w:anchor="Table1" w:history="1">
            <w:r w:rsidR="008B3A98" w:rsidRPr="005158B1">
              <w:rPr>
                <w:rStyle w:val="Hyperlink"/>
              </w:rPr>
              <w:t xml:space="preserve">Table </w:t>
            </w:r>
            <w:r w:rsidR="005158B1" w:rsidRPr="005158B1">
              <w:rPr>
                <w:rStyle w:val="Hyperlink"/>
              </w:rPr>
              <w:t>1</w:t>
            </w:r>
          </w:hyperlink>
          <w:r w:rsidR="008B3A98" w:rsidRPr="006C0162">
            <w:t>, the following factors should be considered when comparing the relative vulnerability of the existing and proposed use, to ensure there is not an increase in risk overall:</w:t>
          </w:r>
          <w:r w:rsidRPr="00AC290C">
            <w:t xml:space="preserve"> </w:t>
          </w:r>
        </w:p>
        <w:p w14:paraId="4D89ED78" w14:textId="77777777" w:rsidR="00EE2B50" w:rsidRDefault="00AC290C" w:rsidP="009A2BCC">
          <w:pPr>
            <w:numPr>
              <w:ilvl w:val="0"/>
              <w:numId w:val="13"/>
            </w:numPr>
            <w:spacing w:after="4"/>
            <w:contextualSpacing/>
          </w:pPr>
          <w:r w:rsidRPr="00AC290C">
            <w:lastRenderedPageBreak/>
            <w:t xml:space="preserve">The </w:t>
          </w:r>
          <w:r w:rsidRPr="00AC290C">
            <w:rPr>
              <w:b/>
              <w:bCs/>
            </w:rPr>
            <w:t>type of building structure</w:t>
          </w:r>
          <w:r w:rsidRPr="00AC290C">
            <w:t xml:space="preserve"> and its effect on the susceptibility of the structure to damage by floodwater, for example a tent or caravan is less robust than a brick building</w:t>
          </w:r>
          <w:r w:rsidR="00460073">
            <w:rPr>
              <w:rStyle w:val="FootnoteReference"/>
            </w:rPr>
            <w:footnoteReference w:id="2"/>
          </w:r>
          <w:r w:rsidRPr="00AC290C">
            <w:t>.</w:t>
          </w:r>
        </w:p>
        <w:p w14:paraId="2341A66D" w14:textId="12AE2B33" w:rsidR="006F4490" w:rsidRPr="00EE2B50" w:rsidRDefault="00AC290C" w:rsidP="009A2BCC">
          <w:pPr>
            <w:numPr>
              <w:ilvl w:val="0"/>
              <w:numId w:val="13"/>
            </w:numPr>
            <w:spacing w:after="4"/>
            <w:contextualSpacing/>
          </w:pPr>
          <w:r w:rsidRPr="00AC290C">
            <w:t xml:space="preserve">The </w:t>
          </w:r>
          <w:r w:rsidRPr="00EE2B50">
            <w:rPr>
              <w:b/>
              <w:bCs/>
            </w:rPr>
            <w:t>permanence of the structure</w:t>
          </w:r>
          <w:r w:rsidR="000E560D">
            <w:t xml:space="preserve">: </w:t>
          </w:r>
          <w:r w:rsidRPr="00AC290C">
            <w:t xml:space="preserve">impermanent structures may be more susceptible to damage </w:t>
          </w:r>
          <w:r w:rsidR="003C58B6">
            <w:t xml:space="preserve">or movement </w:t>
          </w:r>
          <w:r w:rsidRPr="00AC290C">
            <w:t xml:space="preserve">by flood </w:t>
          </w:r>
          <w:r w:rsidR="0049456A" w:rsidRPr="00AC290C">
            <w:t>waters,</w:t>
          </w:r>
          <w:r w:rsidRPr="00AC290C">
            <w:t xml:space="preserve"> </w:t>
          </w:r>
          <w:r w:rsidR="006F4490" w:rsidRPr="00E4011E">
            <w:t xml:space="preserve">but more permanent structures </w:t>
          </w:r>
          <w:r w:rsidR="00AD58A1">
            <w:t>can be</w:t>
          </w:r>
          <w:r w:rsidR="006F4490" w:rsidRPr="00E4011E">
            <w:t xml:space="preserve"> more difficult to remove or relocate in future (both physically and financially).</w:t>
          </w:r>
        </w:p>
        <w:p w14:paraId="00CE4940" w14:textId="77777777" w:rsidR="00AC290C" w:rsidRPr="00AC290C" w:rsidRDefault="00AC290C" w:rsidP="009A2BCC">
          <w:pPr>
            <w:numPr>
              <w:ilvl w:val="0"/>
              <w:numId w:val="13"/>
            </w:numPr>
            <w:spacing w:after="4"/>
            <w:contextualSpacing/>
          </w:pPr>
          <w:r w:rsidRPr="00AC290C">
            <w:t xml:space="preserve">The </w:t>
          </w:r>
          <w:r w:rsidRPr="00E4011E">
            <w:rPr>
              <w:b/>
              <w:bCs/>
            </w:rPr>
            <w:t>design of the development</w:t>
          </w:r>
          <w:r w:rsidRPr="00AC290C">
            <w:t xml:space="preserve"> including site layout, ground and floor levels, basements, above-ground floor levels, proximity to the flood source, and resilient construction features. </w:t>
          </w:r>
        </w:p>
        <w:p w14:paraId="04DCD833" w14:textId="4217A38D" w:rsidR="00AC290C" w:rsidRPr="00AC290C" w:rsidRDefault="00AC290C" w:rsidP="009A2BCC">
          <w:pPr>
            <w:numPr>
              <w:ilvl w:val="0"/>
              <w:numId w:val="13"/>
            </w:numPr>
            <w:spacing w:after="4"/>
            <w:contextualSpacing/>
          </w:pPr>
          <w:r w:rsidRPr="00AC290C">
            <w:t xml:space="preserve">The </w:t>
          </w:r>
          <w:r w:rsidRPr="00AC290C">
            <w:rPr>
              <w:b/>
              <w:bCs/>
            </w:rPr>
            <w:t>users of the site</w:t>
          </w:r>
          <w:r w:rsidR="000E560D">
            <w:t xml:space="preserve">: </w:t>
          </w:r>
          <w:r w:rsidRPr="00AC290C">
            <w:t xml:space="preserve">the number of people using a site, the pattern of their use (e.g., daytime, overnight, seasonal) and the specific vulnerabilities of some user groups are important to consider, including the effect this has on how the site could be evacuated or </w:t>
          </w:r>
          <w:r w:rsidR="004E1F3A">
            <w:t xml:space="preserve">its users </w:t>
          </w:r>
          <w:r w:rsidRPr="00AC290C">
            <w:t xml:space="preserve">respond during a flood event. </w:t>
          </w:r>
        </w:p>
        <w:p w14:paraId="275EC349" w14:textId="2ED86C2A" w:rsidR="00AC290C" w:rsidRPr="00AC290C" w:rsidRDefault="00AC290C" w:rsidP="009A2BCC">
          <w:pPr>
            <w:numPr>
              <w:ilvl w:val="0"/>
              <w:numId w:val="13"/>
            </w:numPr>
            <w:spacing w:after="4"/>
            <w:contextualSpacing/>
          </w:pPr>
          <w:r w:rsidRPr="00AC290C">
            <w:rPr>
              <w:b/>
              <w:bCs/>
            </w:rPr>
            <w:t xml:space="preserve">Evacuation </w:t>
          </w:r>
          <w:r w:rsidRPr="00AC290C">
            <w:t>requirements</w:t>
          </w:r>
          <w:r w:rsidR="000E560D">
            <w:t xml:space="preserve">: </w:t>
          </w:r>
          <w:r w:rsidRPr="00AC290C">
            <w:t xml:space="preserve">in addition to the people using the site, physical factors that could affect evacuation routes. The availability of flood warning could also be considered. </w:t>
          </w:r>
        </w:p>
        <w:p w14:paraId="7976903C" w14:textId="3B445EFB" w:rsidR="00AC290C" w:rsidRPr="00AC290C" w:rsidRDefault="00AC290C" w:rsidP="009A2BCC">
          <w:pPr>
            <w:numPr>
              <w:ilvl w:val="0"/>
              <w:numId w:val="13"/>
            </w:numPr>
            <w:spacing w:after="4"/>
            <w:contextualSpacing/>
          </w:pPr>
          <w:r w:rsidRPr="00AC290C">
            <w:t xml:space="preserve">The </w:t>
          </w:r>
          <w:r w:rsidRPr="00AC290C">
            <w:rPr>
              <w:b/>
              <w:bCs/>
            </w:rPr>
            <w:t>number of properties</w:t>
          </w:r>
          <w:r w:rsidRPr="00AC290C">
            <w:t xml:space="preserve"> at risk</w:t>
          </w:r>
          <w:r w:rsidR="000E560D">
            <w:t>: a</w:t>
          </w:r>
          <w:r w:rsidRPr="00AC290C">
            <w:t>n increase in density, for example conversion of a</w:t>
          </w:r>
          <w:r w:rsidR="006D622A">
            <w:t xml:space="preserve"> </w:t>
          </w:r>
          <w:r w:rsidR="007D278B">
            <w:t xml:space="preserve">large </w:t>
          </w:r>
          <w:r w:rsidR="002034C3">
            <w:t>single use</w:t>
          </w:r>
          <w:r w:rsidR="007D278B">
            <w:t xml:space="preserve"> building with no overnight accommodation into a densely flatted development</w:t>
          </w:r>
          <w:r w:rsidRPr="00AC290C">
            <w:t xml:space="preserve"> could increase the number of properties and households at risk of </w:t>
          </w:r>
          <w:r w:rsidR="007E78BB" w:rsidRPr="00AC290C">
            <w:t>flooding and</w:t>
          </w:r>
          <w:r w:rsidRPr="00AC290C">
            <w:t xml:space="preserve"> increase the number of people at risk overall</w:t>
          </w:r>
          <w:r w:rsidR="006951DF">
            <w:t xml:space="preserve">. </w:t>
          </w:r>
        </w:p>
        <w:p w14:paraId="548845A5" w14:textId="04E8BB4C" w:rsidR="00AC290C" w:rsidRPr="00AC290C" w:rsidRDefault="00AC290C" w:rsidP="009A2BCC">
          <w:pPr>
            <w:numPr>
              <w:ilvl w:val="0"/>
              <w:numId w:val="13"/>
            </w:numPr>
            <w:spacing w:after="4"/>
            <w:contextualSpacing/>
          </w:pPr>
          <w:r w:rsidRPr="00AC290C">
            <w:t xml:space="preserve">The wider </w:t>
          </w:r>
          <w:r w:rsidRPr="00AC290C">
            <w:rPr>
              <w:b/>
              <w:bCs/>
            </w:rPr>
            <w:t>community</w:t>
          </w:r>
          <w:r w:rsidRPr="00AC290C">
            <w:t xml:space="preserve"> impact of the development flooding.</w:t>
          </w:r>
        </w:p>
        <w:p w14:paraId="0AE4A622" w14:textId="77777777" w:rsidR="00AC290C" w:rsidRPr="00AC290C" w:rsidRDefault="00AC290C" w:rsidP="009A2BCC">
          <w:pPr>
            <w:spacing w:after="4"/>
          </w:pPr>
        </w:p>
        <w:p w14:paraId="7C9EFCDE" w14:textId="5DB65377" w:rsidR="00AC290C" w:rsidRPr="00555E7B" w:rsidRDefault="00861BFD" w:rsidP="009A2BCC">
          <w:pPr>
            <w:spacing w:after="4"/>
          </w:pPr>
          <w:r w:rsidRPr="00957A94">
            <w:t xml:space="preserve">Planning authorities should consider whether </w:t>
          </w:r>
          <w:hyperlink r:id="rId27" w:history="1">
            <w:r w:rsidRPr="00AC788D">
              <w:rPr>
                <w:rStyle w:val="Hyperlink"/>
              </w:rPr>
              <w:t>SEPA’s Standing Advice</w:t>
            </w:r>
          </w:hyperlink>
          <w:r w:rsidRPr="00957A94">
            <w:t xml:space="preserve"> </w:t>
          </w:r>
          <w:r w:rsidR="007E78BB" w:rsidRPr="00957A94">
            <w:t>applies</w:t>
          </w:r>
          <w:r w:rsidRPr="00957A94">
            <w:t xml:space="preserve"> to development deemed to fall within </w:t>
          </w:r>
          <w:r w:rsidR="003871AA">
            <w:t xml:space="preserve">Policy 22 </w:t>
          </w:r>
          <w:r w:rsidR="00B84B98" w:rsidRPr="00957A94">
            <w:t>exception (iii)</w:t>
          </w:r>
          <w:r w:rsidR="00AD2B6E" w:rsidRPr="00AD2B6E">
            <w:t xml:space="preserve"> </w:t>
          </w:r>
          <w:r w:rsidR="00AD2B6E" w:rsidRPr="00AC290C">
            <w:t xml:space="preserve">Redevelopment of an existing building or site for </w:t>
          </w:r>
          <w:r w:rsidR="00AD2B6E" w:rsidRPr="003871AA">
            <w:t>an equal or less vulnerable use</w:t>
          </w:r>
          <w:r w:rsidR="0009297A">
            <w:t xml:space="preserve">, </w:t>
          </w:r>
          <w:r w:rsidR="006E5C90">
            <w:t>or whether consultation with SEPA is required</w:t>
          </w:r>
          <w:r w:rsidR="00CB4845">
            <w:t xml:space="preserve">. </w:t>
          </w:r>
          <w:r w:rsidR="002731E1">
            <w:t>Please n</w:t>
          </w:r>
          <w:r w:rsidR="001D254E">
            <w:t xml:space="preserve">ote that </w:t>
          </w:r>
          <w:hyperlink w:anchor="Table1" w:history="1">
            <w:r w:rsidR="00AC290C" w:rsidRPr="000E560D">
              <w:rPr>
                <w:rStyle w:val="Hyperlink"/>
              </w:rPr>
              <w:t>Table 1</w:t>
            </w:r>
          </w:hyperlink>
          <w:r w:rsidR="00AC290C" w:rsidRPr="00555E7B">
            <w:t xml:space="preserve"> is n</w:t>
          </w:r>
          <w:r w:rsidR="00563436">
            <w:t>ot</w:t>
          </w:r>
          <w:r w:rsidR="00AC290C" w:rsidRPr="00555E7B">
            <w:t xml:space="preserve"> exhaustive</w:t>
          </w:r>
          <w:r w:rsidR="00563436">
            <w:t xml:space="preserve"> and </w:t>
          </w:r>
          <w:r w:rsidR="00140B16">
            <w:t xml:space="preserve">planning authorities </w:t>
          </w:r>
          <w:r w:rsidR="006101BA">
            <w:t xml:space="preserve">can </w:t>
          </w:r>
          <w:r w:rsidR="00563436">
            <w:t xml:space="preserve">determine </w:t>
          </w:r>
          <w:r w:rsidR="006101BA">
            <w:t>how to categorise</w:t>
          </w:r>
          <w:r w:rsidR="00563436">
            <w:t xml:space="preserve"> development types </w:t>
          </w:r>
          <w:r w:rsidR="000A3E24">
            <w:t xml:space="preserve">not specifically </w:t>
          </w:r>
          <w:r w:rsidR="00625FCC">
            <w:t>shown</w:t>
          </w:r>
          <w:r w:rsidR="000A3E24">
            <w:t xml:space="preserve"> </w:t>
          </w:r>
          <w:r w:rsidR="00E8271D">
            <w:t>there</w:t>
          </w:r>
          <w:r w:rsidR="008058A6">
            <w:t xml:space="preserve">. Note that the definitions of Essential Infrastructure and Water Compatible uses are taken from </w:t>
          </w:r>
          <w:hyperlink r:id="rId28" w:history="1">
            <w:r w:rsidR="008058A6" w:rsidRPr="007D585B">
              <w:rPr>
                <w:rStyle w:val="Hyperlink"/>
              </w:rPr>
              <w:t>the Glossary of NPF4</w:t>
            </w:r>
          </w:hyperlink>
          <w:r w:rsidR="008058A6">
            <w:t>.</w:t>
          </w:r>
          <w:r w:rsidR="00E8271D">
            <w:t xml:space="preserve"> </w:t>
          </w:r>
          <w:r w:rsidR="00B463D7">
            <w:t xml:space="preserve"> </w:t>
          </w:r>
        </w:p>
        <w:p w14:paraId="3EC3E7BA" w14:textId="77777777" w:rsidR="0070390F" w:rsidRPr="00AC290C" w:rsidRDefault="0070390F" w:rsidP="00AC290C">
          <w:pPr>
            <w:spacing w:after="4" w:line="250" w:lineRule="auto"/>
            <w:sectPr w:rsidR="0070390F" w:rsidRPr="00AC290C" w:rsidSect="009C2057">
              <w:headerReference w:type="even" r:id="rId29"/>
              <w:headerReference w:type="default" r:id="rId30"/>
              <w:footerReference w:type="even" r:id="rId31"/>
              <w:footerReference w:type="default" r:id="rId32"/>
              <w:headerReference w:type="first" r:id="rId33"/>
              <w:footerReference w:type="first" r:id="rId34"/>
              <w:pgSz w:w="11900" w:h="16840"/>
              <w:pgMar w:top="839" w:right="839" w:bottom="839" w:left="839" w:header="794" w:footer="567" w:gutter="0"/>
              <w:pgNumType w:start="0"/>
              <w:cols w:space="708"/>
              <w:titlePg/>
              <w:docGrid w:linePitch="360"/>
            </w:sectPr>
          </w:pPr>
        </w:p>
        <w:p w14:paraId="304F301E" w14:textId="77777777" w:rsidR="00CB04AC" w:rsidRDefault="00AC290C" w:rsidP="00AC290C">
          <w:pPr>
            <w:spacing w:after="240"/>
            <w:rPr>
              <w:rFonts w:ascii="Arial" w:eastAsia="Arial" w:hAnsi="Arial" w:cs="Arial"/>
              <w:b/>
              <w:bCs/>
            </w:rPr>
          </w:pPr>
          <w:bookmarkStart w:id="0" w:name="Table1"/>
          <w:r w:rsidRPr="00AC290C">
            <w:rPr>
              <w:rFonts w:ascii="Arial" w:eastAsia="Arial" w:hAnsi="Arial" w:cs="Arial"/>
              <w:b/>
              <w:bCs/>
            </w:rPr>
            <w:lastRenderedPageBreak/>
            <w:t>Table 1:</w:t>
          </w:r>
          <w:bookmarkEnd w:id="0"/>
          <w:r w:rsidRPr="00AC290C">
            <w:rPr>
              <w:rFonts w:ascii="Arial" w:eastAsia="Arial" w:hAnsi="Arial" w:cs="Arial"/>
              <w:b/>
              <w:bCs/>
            </w:rPr>
            <w:t xml:space="preserve"> Categories of Vulnerability</w:t>
          </w:r>
        </w:p>
        <w:tbl>
          <w:tblPr>
            <w:tblStyle w:val="TableGrid"/>
            <w:tblW w:w="0" w:type="auto"/>
            <w:tblInd w:w="704" w:type="dxa"/>
            <w:tblLook w:val="04A0" w:firstRow="1" w:lastRow="0" w:firstColumn="1" w:lastColumn="0" w:noHBand="0" w:noVBand="1"/>
            <w:tblCaption w:val="Categories of Vulnerabilities"/>
          </w:tblPr>
          <w:tblGrid>
            <w:gridCol w:w="4283"/>
            <w:gridCol w:w="4284"/>
            <w:gridCol w:w="4284"/>
            <w:gridCol w:w="4284"/>
            <w:gridCol w:w="4284"/>
          </w:tblGrid>
          <w:tr w:rsidR="00CB04AC" w:rsidRPr="00AC290C" w14:paraId="29D16388" w14:textId="77777777" w:rsidTr="005C29B7">
            <w:trPr>
              <w:cantSplit/>
              <w:tblHeader/>
            </w:trPr>
            <w:tc>
              <w:tcPr>
                <w:tcW w:w="4283" w:type="dxa"/>
                <w:shd w:val="clear" w:color="auto" w:fill="016574" w:themeFill="accent6"/>
              </w:tcPr>
              <w:p w14:paraId="68F5C37E" w14:textId="77777777" w:rsidR="00CB04AC" w:rsidRPr="00AC290C" w:rsidRDefault="00CB04AC" w:rsidP="00162F0E">
                <w:pPr>
                  <w:spacing w:before="120" w:after="120" w:line="276" w:lineRule="auto"/>
                  <w:rPr>
                    <w:rFonts w:ascii="Arial" w:eastAsia="Times New Roman" w:hAnsi="Arial" w:cs="Arial"/>
                    <w:b/>
                    <w:bCs/>
                    <w:color w:val="FFFFFF"/>
                    <w:sz w:val="24"/>
                    <w:szCs w:val="24"/>
                  </w:rPr>
                </w:pPr>
                <w:r w:rsidRPr="00AC290C">
                  <w:rPr>
                    <w:rFonts w:ascii="Arial" w:eastAsia="Times New Roman" w:hAnsi="Arial" w:cs="Arial"/>
                    <w:b/>
                    <w:bCs/>
                    <w:color w:val="FFFFFF"/>
                    <w:sz w:val="24"/>
                    <w:szCs w:val="24"/>
                  </w:rPr>
                  <w:t>Most Vulnerable</w:t>
                </w:r>
              </w:p>
            </w:tc>
            <w:tc>
              <w:tcPr>
                <w:tcW w:w="4284" w:type="dxa"/>
                <w:shd w:val="clear" w:color="auto" w:fill="016574" w:themeFill="accent6"/>
              </w:tcPr>
              <w:p w14:paraId="37599563" w14:textId="77777777" w:rsidR="00CB04AC" w:rsidRPr="00AC290C" w:rsidRDefault="00CB04AC" w:rsidP="00162F0E">
                <w:pPr>
                  <w:spacing w:before="120" w:after="120" w:line="276" w:lineRule="auto"/>
                  <w:rPr>
                    <w:rFonts w:ascii="Arial" w:eastAsia="Times New Roman" w:hAnsi="Arial" w:cs="Arial"/>
                    <w:b/>
                    <w:bCs/>
                    <w:color w:val="FFFFFF"/>
                    <w:sz w:val="24"/>
                    <w:szCs w:val="24"/>
                  </w:rPr>
                </w:pPr>
                <w:r w:rsidRPr="00AC290C">
                  <w:rPr>
                    <w:rFonts w:ascii="Arial" w:eastAsia="Times New Roman" w:hAnsi="Arial" w:cs="Arial"/>
                    <w:b/>
                    <w:bCs/>
                    <w:color w:val="FFFFFF"/>
                    <w:sz w:val="24"/>
                    <w:szCs w:val="24"/>
                  </w:rPr>
                  <w:t>Highly Vulnerable</w:t>
                </w:r>
              </w:p>
            </w:tc>
            <w:tc>
              <w:tcPr>
                <w:tcW w:w="4284" w:type="dxa"/>
                <w:shd w:val="clear" w:color="auto" w:fill="016574" w:themeFill="accent6"/>
              </w:tcPr>
              <w:p w14:paraId="02C4BDED" w14:textId="77777777" w:rsidR="00CB04AC" w:rsidRPr="00AC290C" w:rsidRDefault="00CB04AC" w:rsidP="00162F0E">
                <w:pPr>
                  <w:spacing w:before="120" w:after="120" w:line="276" w:lineRule="auto"/>
                  <w:rPr>
                    <w:rFonts w:ascii="Arial" w:eastAsia="Times New Roman" w:hAnsi="Arial" w:cs="Arial"/>
                    <w:b/>
                    <w:bCs/>
                    <w:color w:val="FFFFFF"/>
                    <w:sz w:val="24"/>
                    <w:szCs w:val="24"/>
                  </w:rPr>
                </w:pPr>
                <w:r w:rsidRPr="00AC290C">
                  <w:rPr>
                    <w:rFonts w:ascii="Arial" w:eastAsia="Times New Roman" w:hAnsi="Arial" w:cs="Arial"/>
                    <w:b/>
                    <w:bCs/>
                    <w:color w:val="FFFFFF"/>
                    <w:sz w:val="24"/>
                    <w:szCs w:val="24"/>
                  </w:rPr>
                  <w:t>Least Vulnerable</w:t>
                </w:r>
              </w:p>
            </w:tc>
            <w:tc>
              <w:tcPr>
                <w:tcW w:w="4284" w:type="dxa"/>
                <w:shd w:val="clear" w:color="auto" w:fill="016574" w:themeFill="accent6"/>
              </w:tcPr>
              <w:p w14:paraId="50B6E119" w14:textId="302B6CF5" w:rsidR="00CB04AC" w:rsidRPr="00AC290C" w:rsidRDefault="00CB04AC" w:rsidP="00162F0E">
                <w:pPr>
                  <w:spacing w:before="120" w:after="120" w:line="276" w:lineRule="auto"/>
                  <w:rPr>
                    <w:rFonts w:ascii="Arial" w:eastAsia="Times New Roman" w:hAnsi="Arial" w:cs="Arial"/>
                    <w:b/>
                    <w:bCs/>
                    <w:color w:val="FFFFFF"/>
                    <w:sz w:val="24"/>
                    <w:szCs w:val="24"/>
                  </w:rPr>
                </w:pPr>
                <w:r w:rsidRPr="00AC290C">
                  <w:rPr>
                    <w:rFonts w:ascii="Arial" w:eastAsia="Times New Roman" w:hAnsi="Arial" w:cs="Arial"/>
                    <w:b/>
                    <w:bCs/>
                    <w:color w:val="FFFFFF"/>
                    <w:sz w:val="24"/>
                    <w:szCs w:val="24"/>
                  </w:rPr>
                  <w:t>Essential Infrastructure</w:t>
                </w:r>
                <w:r w:rsidR="00B463D7">
                  <w:rPr>
                    <w:rFonts w:ascii="Arial" w:eastAsia="Times New Roman" w:hAnsi="Arial" w:cs="Arial"/>
                    <w:b/>
                    <w:bCs/>
                    <w:color w:val="FFFFFF"/>
                    <w:sz w:val="24"/>
                    <w:szCs w:val="24"/>
                  </w:rPr>
                  <w:t xml:space="preserve"> </w:t>
                </w:r>
                <w:r w:rsidRPr="00603553">
                  <w:rPr>
                    <w:rFonts w:ascii="Arial" w:eastAsia="Times New Roman" w:hAnsi="Arial" w:cs="Arial"/>
                    <w:b/>
                    <w:bCs/>
                    <w:color w:val="FFFFFF"/>
                    <w:sz w:val="24"/>
                    <w:szCs w:val="24"/>
                    <w:vertAlign w:val="superscript"/>
                  </w:rPr>
                  <w:footnoteReference w:id="3"/>
                </w:r>
              </w:p>
            </w:tc>
            <w:tc>
              <w:tcPr>
                <w:tcW w:w="4284" w:type="dxa"/>
                <w:shd w:val="clear" w:color="auto" w:fill="016574" w:themeFill="accent6"/>
              </w:tcPr>
              <w:p w14:paraId="12E6582D" w14:textId="77777777" w:rsidR="00CB04AC" w:rsidRPr="00AC290C" w:rsidRDefault="00CB04AC" w:rsidP="00162F0E">
                <w:pPr>
                  <w:spacing w:before="120" w:after="120" w:line="276" w:lineRule="auto"/>
                  <w:rPr>
                    <w:rFonts w:ascii="Arial" w:eastAsia="Times New Roman" w:hAnsi="Arial" w:cs="Arial"/>
                    <w:b/>
                    <w:bCs/>
                    <w:color w:val="FFFFFF"/>
                    <w:sz w:val="24"/>
                    <w:szCs w:val="24"/>
                  </w:rPr>
                </w:pPr>
                <w:r w:rsidRPr="00AC290C">
                  <w:rPr>
                    <w:rFonts w:ascii="Arial" w:eastAsia="Times New Roman" w:hAnsi="Arial" w:cs="Arial"/>
                    <w:b/>
                    <w:bCs/>
                    <w:color w:val="FFFFFF"/>
                    <w:sz w:val="24"/>
                    <w:szCs w:val="24"/>
                  </w:rPr>
                  <w:t>Water Compatible</w:t>
                </w:r>
              </w:p>
            </w:tc>
          </w:tr>
          <w:tr w:rsidR="00CB04AC" w:rsidRPr="00AC290C" w14:paraId="1F584F35" w14:textId="77777777" w:rsidTr="005C29B7">
            <w:trPr>
              <w:cantSplit/>
            </w:trPr>
            <w:tc>
              <w:tcPr>
                <w:tcW w:w="4283" w:type="dxa"/>
              </w:tcPr>
              <w:p w14:paraId="60E42030" w14:textId="77777777" w:rsidR="00CB04AC" w:rsidRPr="00AC290C" w:rsidRDefault="00CB04AC" w:rsidP="00162F0E">
                <w:pPr>
                  <w:numPr>
                    <w:ilvl w:val="0"/>
                    <w:numId w:val="17"/>
                  </w:numPr>
                  <w:spacing w:after="4" w:line="250" w:lineRule="auto"/>
                  <w:ind w:left="368" w:hanging="357"/>
                  <w:contextualSpacing/>
                  <w:rPr>
                    <w:rFonts w:ascii="Arial" w:hAnsi="Arial" w:cs="Arial"/>
                    <w:sz w:val="24"/>
                    <w:szCs w:val="24"/>
                  </w:rPr>
                </w:pPr>
                <w:r w:rsidRPr="00AC290C">
                  <w:rPr>
                    <w:rFonts w:ascii="Arial" w:hAnsi="Arial" w:cs="Arial"/>
                    <w:sz w:val="24"/>
                    <w:szCs w:val="24"/>
                  </w:rPr>
                  <w:t>Police Stations</w:t>
                </w:r>
              </w:p>
              <w:p w14:paraId="2AB3ABBA" w14:textId="77777777" w:rsidR="00CB04AC" w:rsidRPr="00AC290C" w:rsidRDefault="00CB04AC" w:rsidP="00162F0E">
                <w:pPr>
                  <w:numPr>
                    <w:ilvl w:val="0"/>
                    <w:numId w:val="17"/>
                  </w:numPr>
                  <w:spacing w:after="4" w:line="250" w:lineRule="auto"/>
                  <w:ind w:left="368" w:hanging="357"/>
                  <w:contextualSpacing/>
                  <w:rPr>
                    <w:rFonts w:ascii="Arial" w:hAnsi="Arial" w:cs="Arial"/>
                    <w:sz w:val="24"/>
                    <w:szCs w:val="24"/>
                  </w:rPr>
                </w:pPr>
                <w:r w:rsidRPr="00AC290C">
                  <w:rPr>
                    <w:rFonts w:ascii="Arial" w:hAnsi="Arial" w:cs="Arial"/>
                    <w:sz w:val="24"/>
                    <w:szCs w:val="24"/>
                  </w:rPr>
                  <w:t>Ambulance Stations</w:t>
                </w:r>
              </w:p>
              <w:p w14:paraId="49CFD3B0" w14:textId="77777777" w:rsidR="00CB04AC" w:rsidRPr="00AC290C" w:rsidRDefault="00CB04AC" w:rsidP="00162F0E">
                <w:pPr>
                  <w:numPr>
                    <w:ilvl w:val="0"/>
                    <w:numId w:val="17"/>
                  </w:numPr>
                  <w:spacing w:after="4" w:line="250" w:lineRule="auto"/>
                  <w:ind w:left="368" w:hanging="357"/>
                  <w:contextualSpacing/>
                  <w:rPr>
                    <w:rFonts w:ascii="Arial" w:hAnsi="Arial" w:cs="Arial"/>
                    <w:sz w:val="24"/>
                    <w:szCs w:val="24"/>
                  </w:rPr>
                </w:pPr>
                <w:r w:rsidRPr="00AC290C">
                  <w:rPr>
                    <w:rFonts w:ascii="Arial" w:hAnsi="Arial" w:cs="Arial"/>
                    <w:sz w:val="24"/>
                    <w:szCs w:val="24"/>
                  </w:rPr>
                  <w:t>Fire Stations</w:t>
                </w:r>
              </w:p>
              <w:p w14:paraId="44F8EDF7" w14:textId="77777777" w:rsidR="00CB04AC" w:rsidRPr="00AC290C" w:rsidRDefault="00CB04AC" w:rsidP="00162F0E">
                <w:pPr>
                  <w:numPr>
                    <w:ilvl w:val="0"/>
                    <w:numId w:val="17"/>
                  </w:numPr>
                  <w:spacing w:after="4" w:line="250" w:lineRule="auto"/>
                  <w:ind w:left="368" w:hanging="357"/>
                  <w:contextualSpacing/>
                  <w:rPr>
                    <w:rFonts w:ascii="Arial" w:hAnsi="Arial" w:cs="Arial"/>
                    <w:sz w:val="24"/>
                    <w:szCs w:val="24"/>
                  </w:rPr>
                </w:pPr>
                <w:r w:rsidRPr="00AC290C">
                  <w:rPr>
                    <w:rFonts w:ascii="Arial" w:hAnsi="Arial" w:cs="Arial"/>
                    <w:sz w:val="24"/>
                    <w:szCs w:val="24"/>
                  </w:rPr>
                  <w:t>Command centres and telecommunications installations required to be operational during flooding.</w:t>
                </w:r>
              </w:p>
              <w:p w14:paraId="1CCDED35" w14:textId="77777777" w:rsidR="00CB04AC" w:rsidRPr="00AC290C" w:rsidRDefault="00CB04AC" w:rsidP="00162F0E">
                <w:pPr>
                  <w:numPr>
                    <w:ilvl w:val="0"/>
                    <w:numId w:val="17"/>
                  </w:numPr>
                  <w:spacing w:after="4" w:line="250" w:lineRule="auto"/>
                  <w:ind w:left="368" w:hanging="357"/>
                  <w:contextualSpacing/>
                  <w:rPr>
                    <w:rFonts w:ascii="Arial" w:hAnsi="Arial" w:cs="Arial"/>
                    <w:sz w:val="24"/>
                    <w:szCs w:val="24"/>
                  </w:rPr>
                </w:pPr>
                <w:r w:rsidRPr="00AC290C">
                  <w:rPr>
                    <w:rFonts w:ascii="Arial" w:hAnsi="Arial" w:cs="Arial"/>
                    <w:sz w:val="24"/>
                    <w:szCs w:val="24"/>
                  </w:rPr>
                  <w:t>Emergency dispersal points</w:t>
                </w:r>
              </w:p>
              <w:p w14:paraId="2311C0E1" w14:textId="77777777" w:rsidR="00CB04AC" w:rsidRPr="00AC290C" w:rsidRDefault="00CB04AC" w:rsidP="00162F0E">
                <w:pPr>
                  <w:numPr>
                    <w:ilvl w:val="0"/>
                    <w:numId w:val="17"/>
                  </w:numPr>
                  <w:spacing w:after="4" w:line="250" w:lineRule="auto"/>
                  <w:ind w:left="368" w:hanging="357"/>
                  <w:contextualSpacing/>
                  <w:rPr>
                    <w:rFonts w:ascii="Arial" w:hAnsi="Arial" w:cs="Arial"/>
                    <w:sz w:val="24"/>
                    <w:szCs w:val="24"/>
                  </w:rPr>
                </w:pPr>
                <w:r w:rsidRPr="00AC290C">
                  <w:rPr>
                    <w:rFonts w:ascii="Arial" w:hAnsi="Arial" w:cs="Arial"/>
                    <w:sz w:val="24"/>
                    <w:szCs w:val="24"/>
                  </w:rPr>
                  <w:t>Hospitals</w:t>
                </w:r>
              </w:p>
              <w:p w14:paraId="7B213B2C" w14:textId="77777777" w:rsidR="00CB04AC" w:rsidRPr="00AC290C" w:rsidRDefault="00CB04AC" w:rsidP="00162F0E">
                <w:pPr>
                  <w:numPr>
                    <w:ilvl w:val="0"/>
                    <w:numId w:val="17"/>
                  </w:numPr>
                  <w:spacing w:after="4" w:line="250" w:lineRule="auto"/>
                  <w:ind w:left="368" w:hanging="357"/>
                  <w:contextualSpacing/>
                  <w:rPr>
                    <w:rFonts w:ascii="Arial" w:hAnsi="Arial" w:cs="Arial"/>
                    <w:sz w:val="24"/>
                    <w:szCs w:val="24"/>
                  </w:rPr>
                </w:pPr>
                <w:r w:rsidRPr="00AC290C">
                  <w:rPr>
                    <w:rFonts w:ascii="Arial" w:hAnsi="Arial" w:cs="Arial"/>
                    <w:sz w:val="24"/>
                    <w:szCs w:val="24"/>
                  </w:rPr>
                  <w:t>Schools</w:t>
                </w:r>
              </w:p>
              <w:p w14:paraId="44E7F31B" w14:textId="77777777" w:rsidR="00CB04AC" w:rsidRPr="00AC290C" w:rsidRDefault="00CB04AC" w:rsidP="00162F0E">
                <w:pPr>
                  <w:numPr>
                    <w:ilvl w:val="0"/>
                    <w:numId w:val="17"/>
                  </w:numPr>
                  <w:spacing w:after="4" w:line="250" w:lineRule="auto"/>
                  <w:ind w:left="368" w:hanging="357"/>
                  <w:contextualSpacing/>
                  <w:rPr>
                    <w:rFonts w:ascii="Arial" w:hAnsi="Arial" w:cs="Arial"/>
                    <w:sz w:val="24"/>
                    <w:szCs w:val="24"/>
                  </w:rPr>
                </w:pPr>
                <w:r w:rsidRPr="00AC290C">
                  <w:rPr>
                    <w:rFonts w:ascii="Arial" w:hAnsi="Arial" w:cs="Arial"/>
                    <w:sz w:val="24"/>
                    <w:szCs w:val="24"/>
                  </w:rPr>
                  <w:t>Care homes</w:t>
                </w:r>
              </w:p>
              <w:p w14:paraId="116630D9" w14:textId="77777777" w:rsidR="00CB04AC" w:rsidRPr="00AC290C" w:rsidRDefault="00CB04AC" w:rsidP="00162F0E">
                <w:pPr>
                  <w:numPr>
                    <w:ilvl w:val="0"/>
                    <w:numId w:val="17"/>
                  </w:numPr>
                  <w:spacing w:after="4" w:line="250" w:lineRule="auto"/>
                  <w:ind w:left="368" w:hanging="357"/>
                  <w:contextualSpacing/>
                  <w:rPr>
                    <w:rFonts w:ascii="Arial" w:hAnsi="Arial" w:cs="Arial"/>
                    <w:sz w:val="24"/>
                    <w:szCs w:val="24"/>
                  </w:rPr>
                </w:pPr>
                <w:r w:rsidRPr="00AC290C">
                  <w:rPr>
                    <w:rFonts w:ascii="Arial" w:hAnsi="Arial" w:cs="Arial"/>
                    <w:sz w:val="24"/>
                    <w:szCs w:val="24"/>
                  </w:rPr>
                  <w:t>Nurseries</w:t>
                </w:r>
              </w:p>
              <w:p w14:paraId="186CA6BD" w14:textId="77777777" w:rsidR="00CB04AC" w:rsidRPr="00AC290C" w:rsidRDefault="00CB04AC" w:rsidP="00162F0E">
                <w:pPr>
                  <w:numPr>
                    <w:ilvl w:val="0"/>
                    <w:numId w:val="17"/>
                  </w:numPr>
                  <w:spacing w:after="4" w:line="250" w:lineRule="auto"/>
                  <w:ind w:left="368" w:hanging="357"/>
                  <w:contextualSpacing/>
                  <w:rPr>
                    <w:rFonts w:ascii="Arial" w:hAnsi="Arial" w:cs="Arial"/>
                    <w:sz w:val="24"/>
                    <w:szCs w:val="24"/>
                  </w:rPr>
                </w:pPr>
                <w:r w:rsidRPr="00AC290C">
                  <w:rPr>
                    <w:rFonts w:ascii="Arial" w:hAnsi="Arial" w:cs="Arial"/>
                    <w:sz w:val="24"/>
                    <w:szCs w:val="24"/>
                  </w:rPr>
                  <w:t>Residential institutions e.g., prisons, children’s homes</w:t>
                </w:r>
              </w:p>
              <w:p w14:paraId="1B455317" w14:textId="77777777" w:rsidR="00CB04AC" w:rsidRPr="00AC290C" w:rsidRDefault="00CB04AC" w:rsidP="00162F0E">
                <w:pPr>
                  <w:numPr>
                    <w:ilvl w:val="0"/>
                    <w:numId w:val="17"/>
                  </w:numPr>
                  <w:spacing w:after="4" w:line="250" w:lineRule="auto"/>
                  <w:ind w:left="368" w:hanging="357"/>
                  <w:contextualSpacing/>
                  <w:rPr>
                    <w:rFonts w:ascii="Arial" w:hAnsi="Arial" w:cs="Arial"/>
                    <w:sz w:val="24"/>
                    <w:szCs w:val="24"/>
                  </w:rPr>
                </w:pPr>
                <w:r w:rsidRPr="00AC290C">
                  <w:rPr>
                    <w:rFonts w:ascii="Arial" w:hAnsi="Arial" w:cs="Arial"/>
                    <w:sz w:val="24"/>
                    <w:szCs w:val="24"/>
                  </w:rPr>
                  <w:t>Basement dwellings</w:t>
                </w:r>
              </w:p>
              <w:p w14:paraId="4D915632" w14:textId="77777777" w:rsidR="00CB04AC" w:rsidRPr="00AC290C" w:rsidRDefault="00CB04AC" w:rsidP="00162F0E">
                <w:pPr>
                  <w:numPr>
                    <w:ilvl w:val="0"/>
                    <w:numId w:val="17"/>
                  </w:numPr>
                  <w:spacing w:after="4" w:line="250" w:lineRule="auto"/>
                  <w:ind w:left="368" w:hanging="357"/>
                  <w:contextualSpacing/>
                  <w:rPr>
                    <w:rFonts w:ascii="Arial" w:hAnsi="Arial" w:cs="Arial"/>
                    <w:sz w:val="24"/>
                    <w:szCs w:val="24"/>
                  </w:rPr>
                </w:pPr>
                <w:r w:rsidRPr="00AC290C">
                  <w:rPr>
                    <w:rFonts w:ascii="Arial" w:hAnsi="Arial" w:cs="Arial"/>
                    <w:sz w:val="24"/>
                    <w:szCs w:val="24"/>
                  </w:rPr>
                  <w:t>Isolated dwelling(s) in sparsely populated areas</w:t>
                </w:r>
              </w:p>
              <w:p w14:paraId="5BA4A8E2" w14:textId="77777777" w:rsidR="00CB04AC" w:rsidRPr="00AC290C" w:rsidRDefault="00CB04AC" w:rsidP="00162F0E">
                <w:pPr>
                  <w:numPr>
                    <w:ilvl w:val="0"/>
                    <w:numId w:val="17"/>
                  </w:numPr>
                  <w:spacing w:after="4" w:line="250" w:lineRule="auto"/>
                  <w:ind w:left="368" w:hanging="357"/>
                  <w:contextualSpacing/>
                  <w:rPr>
                    <w:rFonts w:ascii="Arial" w:hAnsi="Arial" w:cs="Arial"/>
                    <w:sz w:val="24"/>
                    <w:szCs w:val="24"/>
                  </w:rPr>
                </w:pPr>
                <w:r w:rsidRPr="00AC290C">
                  <w:rPr>
                    <w:rFonts w:ascii="Arial" w:hAnsi="Arial" w:cs="Arial"/>
                    <w:sz w:val="24"/>
                    <w:szCs w:val="24"/>
                  </w:rPr>
                  <w:t>Dwelling houses situated behind informal embankments.</w:t>
                </w:r>
              </w:p>
              <w:p w14:paraId="56EFD572" w14:textId="77777777" w:rsidR="00CB04AC" w:rsidRPr="00AC290C" w:rsidRDefault="00CB04AC" w:rsidP="00162F0E">
                <w:pPr>
                  <w:numPr>
                    <w:ilvl w:val="0"/>
                    <w:numId w:val="17"/>
                  </w:numPr>
                  <w:spacing w:after="4" w:line="250" w:lineRule="auto"/>
                  <w:ind w:left="368" w:hanging="357"/>
                  <w:contextualSpacing/>
                  <w:rPr>
                    <w:rFonts w:ascii="Arial" w:hAnsi="Arial" w:cs="Arial"/>
                    <w:sz w:val="24"/>
                    <w:szCs w:val="24"/>
                  </w:rPr>
                </w:pPr>
                <w:r w:rsidRPr="00AC290C">
                  <w:rPr>
                    <w:rFonts w:ascii="Arial" w:hAnsi="Arial" w:cs="Arial"/>
                    <w:sz w:val="24"/>
                    <w:szCs w:val="24"/>
                  </w:rPr>
                  <w:t>Caravans, mobile homes, chalets and park homes intended for permanent residential use.</w:t>
                </w:r>
              </w:p>
              <w:p w14:paraId="49DC4D1B" w14:textId="77777777" w:rsidR="00CB04AC" w:rsidRPr="00AC290C" w:rsidRDefault="00CB04AC" w:rsidP="00162F0E">
                <w:pPr>
                  <w:numPr>
                    <w:ilvl w:val="0"/>
                    <w:numId w:val="17"/>
                  </w:numPr>
                  <w:spacing w:after="4" w:line="250" w:lineRule="auto"/>
                  <w:ind w:left="368" w:hanging="357"/>
                  <w:contextualSpacing/>
                  <w:rPr>
                    <w:rFonts w:ascii="Arial" w:hAnsi="Arial" w:cs="Arial"/>
                    <w:sz w:val="24"/>
                    <w:szCs w:val="24"/>
                  </w:rPr>
                </w:pPr>
                <w:r w:rsidRPr="00AC290C">
                  <w:rPr>
                    <w:rFonts w:ascii="Arial" w:hAnsi="Arial" w:cs="Arial"/>
                    <w:sz w:val="24"/>
                    <w:szCs w:val="24"/>
                  </w:rPr>
                  <w:t>Holiday caravan, chalet and camping sites</w:t>
                </w:r>
              </w:p>
              <w:p w14:paraId="2386E4B8" w14:textId="50953CE5" w:rsidR="00CB04AC" w:rsidRPr="00AC290C" w:rsidRDefault="00CB04AC" w:rsidP="00162F0E">
                <w:pPr>
                  <w:numPr>
                    <w:ilvl w:val="0"/>
                    <w:numId w:val="17"/>
                  </w:numPr>
                  <w:spacing w:after="4" w:line="250" w:lineRule="auto"/>
                  <w:ind w:left="368" w:hanging="357"/>
                  <w:contextualSpacing/>
                  <w:rPr>
                    <w:rFonts w:ascii="Arial" w:hAnsi="Arial" w:cs="Arial"/>
                    <w:sz w:val="24"/>
                    <w:szCs w:val="24"/>
                  </w:rPr>
                </w:pPr>
                <w:r w:rsidRPr="00AC290C">
                  <w:rPr>
                    <w:rFonts w:ascii="Arial" w:hAnsi="Arial" w:cs="Arial"/>
                    <w:sz w:val="24"/>
                    <w:szCs w:val="24"/>
                  </w:rPr>
                  <w:t>Installations requiring hazardous substance consent (but where there is demonstrable need to locate such installations for bulk storage of materials with port or other similar facilities, or with energy infrastructure, that require a coastal or water side location, or other high flood risk areas, then the facilities should be classified as Essential Infrastructure)</w:t>
                </w:r>
              </w:p>
              <w:p w14:paraId="09012D81" w14:textId="77777777" w:rsidR="00CB04AC" w:rsidRPr="00AC290C" w:rsidRDefault="00CB04AC" w:rsidP="00162F0E">
                <w:pPr>
                  <w:spacing w:after="240"/>
                  <w:rPr>
                    <w:rFonts w:ascii="Arial" w:hAnsi="Arial" w:cs="Arial"/>
                    <w:sz w:val="24"/>
                    <w:szCs w:val="24"/>
                  </w:rPr>
                </w:pPr>
              </w:p>
              <w:p w14:paraId="0D3B6C5B" w14:textId="77777777" w:rsidR="00CB04AC" w:rsidRPr="00AC290C" w:rsidRDefault="00CB04AC" w:rsidP="00162F0E">
                <w:pPr>
                  <w:spacing w:after="240"/>
                  <w:rPr>
                    <w:rFonts w:ascii="Arial" w:hAnsi="Arial" w:cs="Arial"/>
                    <w:sz w:val="24"/>
                    <w:szCs w:val="24"/>
                  </w:rPr>
                </w:pPr>
              </w:p>
            </w:tc>
            <w:tc>
              <w:tcPr>
                <w:tcW w:w="4284" w:type="dxa"/>
              </w:tcPr>
              <w:p w14:paraId="3BB8A544" w14:textId="77777777" w:rsidR="00CB04AC" w:rsidRPr="00AC290C" w:rsidRDefault="00CB04AC" w:rsidP="00162F0E">
                <w:pPr>
                  <w:numPr>
                    <w:ilvl w:val="0"/>
                    <w:numId w:val="19"/>
                  </w:numPr>
                  <w:spacing w:after="4" w:line="250" w:lineRule="auto"/>
                  <w:ind w:left="368" w:hanging="357"/>
                  <w:contextualSpacing/>
                  <w:rPr>
                    <w:rFonts w:ascii="Arial" w:hAnsi="Arial" w:cs="Arial"/>
                    <w:sz w:val="24"/>
                    <w:szCs w:val="24"/>
                  </w:rPr>
                </w:pPr>
                <w:r w:rsidRPr="00AC290C">
                  <w:rPr>
                    <w:rFonts w:ascii="Arial" w:hAnsi="Arial" w:cs="Arial"/>
                    <w:sz w:val="24"/>
                    <w:szCs w:val="24"/>
                  </w:rPr>
                  <w:t>Buildings used for dwelling houses.</w:t>
                </w:r>
              </w:p>
              <w:p w14:paraId="35A9031C" w14:textId="77777777" w:rsidR="00CB04AC" w:rsidRPr="00AC290C" w:rsidRDefault="00CB04AC" w:rsidP="00162F0E">
                <w:pPr>
                  <w:numPr>
                    <w:ilvl w:val="0"/>
                    <w:numId w:val="19"/>
                  </w:numPr>
                  <w:spacing w:after="4" w:line="250" w:lineRule="auto"/>
                  <w:ind w:left="368" w:hanging="357"/>
                  <w:contextualSpacing/>
                  <w:rPr>
                    <w:rFonts w:ascii="Arial" w:hAnsi="Arial" w:cs="Arial"/>
                    <w:sz w:val="24"/>
                    <w:szCs w:val="24"/>
                  </w:rPr>
                </w:pPr>
                <w:r w:rsidRPr="00AC290C">
                  <w:rPr>
                    <w:rFonts w:ascii="Arial" w:hAnsi="Arial" w:cs="Arial"/>
                    <w:sz w:val="24"/>
                    <w:szCs w:val="24"/>
                  </w:rPr>
                  <w:t>Social services homes (ambulant/adult)</w:t>
                </w:r>
              </w:p>
              <w:p w14:paraId="2FE9281B" w14:textId="77777777" w:rsidR="00CB04AC" w:rsidRPr="00AC290C" w:rsidRDefault="00CB04AC" w:rsidP="00162F0E">
                <w:pPr>
                  <w:numPr>
                    <w:ilvl w:val="0"/>
                    <w:numId w:val="19"/>
                  </w:numPr>
                  <w:spacing w:after="4" w:line="250" w:lineRule="auto"/>
                  <w:ind w:left="368" w:hanging="357"/>
                  <w:contextualSpacing/>
                  <w:rPr>
                    <w:rFonts w:ascii="Arial" w:hAnsi="Arial" w:cs="Arial"/>
                    <w:sz w:val="24"/>
                    <w:szCs w:val="24"/>
                  </w:rPr>
                </w:pPr>
                <w:r w:rsidRPr="00AC290C">
                  <w:rPr>
                    <w:rFonts w:ascii="Arial" w:hAnsi="Arial" w:cs="Arial"/>
                    <w:sz w:val="24"/>
                    <w:szCs w:val="24"/>
                  </w:rPr>
                  <w:t>Hostels and hotels</w:t>
                </w:r>
              </w:p>
              <w:p w14:paraId="1EB472F8" w14:textId="77777777" w:rsidR="00CB04AC" w:rsidRPr="00AC290C" w:rsidRDefault="00CB04AC" w:rsidP="00162F0E">
                <w:pPr>
                  <w:numPr>
                    <w:ilvl w:val="0"/>
                    <w:numId w:val="19"/>
                  </w:numPr>
                  <w:spacing w:after="4" w:line="250" w:lineRule="auto"/>
                  <w:ind w:left="368" w:hanging="357"/>
                  <w:contextualSpacing/>
                  <w:rPr>
                    <w:rFonts w:ascii="Arial" w:hAnsi="Arial" w:cs="Arial"/>
                    <w:sz w:val="24"/>
                    <w:szCs w:val="24"/>
                  </w:rPr>
                </w:pPr>
                <w:r w:rsidRPr="00AC290C">
                  <w:rPr>
                    <w:rFonts w:ascii="Arial" w:hAnsi="Arial" w:cs="Arial"/>
                    <w:sz w:val="24"/>
                    <w:szCs w:val="24"/>
                  </w:rPr>
                  <w:t>Student halls of residence</w:t>
                </w:r>
              </w:p>
              <w:p w14:paraId="0BAB61CC" w14:textId="77777777" w:rsidR="00CB04AC" w:rsidRPr="00AC290C" w:rsidRDefault="00CB04AC" w:rsidP="00162F0E">
                <w:pPr>
                  <w:numPr>
                    <w:ilvl w:val="0"/>
                    <w:numId w:val="19"/>
                  </w:numPr>
                  <w:spacing w:after="4" w:line="250" w:lineRule="auto"/>
                  <w:ind w:left="368" w:hanging="357"/>
                  <w:contextualSpacing/>
                  <w:rPr>
                    <w:rFonts w:ascii="Arial" w:hAnsi="Arial" w:cs="Arial"/>
                    <w:sz w:val="24"/>
                    <w:szCs w:val="24"/>
                  </w:rPr>
                </w:pPr>
                <w:r w:rsidRPr="00AC290C">
                  <w:rPr>
                    <w:rFonts w:ascii="Arial" w:hAnsi="Arial" w:cs="Arial"/>
                    <w:sz w:val="24"/>
                    <w:szCs w:val="24"/>
                  </w:rPr>
                  <w:t>Non-residential uses for health service</w:t>
                </w:r>
              </w:p>
              <w:p w14:paraId="48D39072" w14:textId="77777777" w:rsidR="00CB04AC" w:rsidRPr="00AC290C" w:rsidRDefault="00CB04AC" w:rsidP="00162F0E">
                <w:pPr>
                  <w:numPr>
                    <w:ilvl w:val="0"/>
                    <w:numId w:val="19"/>
                  </w:numPr>
                  <w:spacing w:after="4" w:line="250" w:lineRule="auto"/>
                  <w:ind w:left="368" w:hanging="357"/>
                  <w:contextualSpacing/>
                  <w:rPr>
                    <w:rFonts w:ascii="Arial" w:hAnsi="Arial" w:cs="Arial"/>
                    <w:sz w:val="24"/>
                    <w:szCs w:val="24"/>
                  </w:rPr>
                </w:pPr>
                <w:r w:rsidRPr="00AC290C">
                  <w:rPr>
                    <w:rFonts w:ascii="Arial" w:hAnsi="Arial" w:cs="Arial"/>
                    <w:sz w:val="24"/>
                    <w:szCs w:val="24"/>
                  </w:rPr>
                  <w:t>Landfill and sites used for waste management facilities for hazardous waste.</w:t>
                </w:r>
              </w:p>
              <w:p w14:paraId="77594E3C" w14:textId="77777777" w:rsidR="00CB04AC" w:rsidRPr="00AC290C" w:rsidRDefault="00CB04AC" w:rsidP="00162F0E">
                <w:pPr>
                  <w:spacing w:after="240"/>
                  <w:rPr>
                    <w:rFonts w:ascii="Arial" w:hAnsi="Arial" w:cs="Arial"/>
                    <w:sz w:val="24"/>
                    <w:szCs w:val="24"/>
                  </w:rPr>
                </w:pPr>
              </w:p>
            </w:tc>
            <w:tc>
              <w:tcPr>
                <w:tcW w:w="4284" w:type="dxa"/>
              </w:tcPr>
              <w:p w14:paraId="381B586C" w14:textId="77777777" w:rsidR="00CB04AC" w:rsidRPr="00AC290C" w:rsidRDefault="00CB04AC" w:rsidP="00162F0E">
                <w:pPr>
                  <w:numPr>
                    <w:ilvl w:val="0"/>
                    <w:numId w:val="19"/>
                  </w:numPr>
                  <w:spacing w:after="240" w:line="240" w:lineRule="auto"/>
                  <w:ind w:hanging="357"/>
                  <w:contextualSpacing/>
                  <w:rPr>
                    <w:rFonts w:ascii="Arial" w:hAnsi="Arial" w:cs="Arial"/>
                    <w:sz w:val="24"/>
                    <w:szCs w:val="24"/>
                  </w:rPr>
                </w:pPr>
                <w:r w:rsidRPr="00AC290C">
                  <w:rPr>
                    <w:rFonts w:ascii="Arial" w:hAnsi="Arial" w:cs="Arial"/>
                    <w:sz w:val="24"/>
                    <w:szCs w:val="24"/>
                  </w:rPr>
                  <w:t>Shops</w:t>
                </w:r>
              </w:p>
              <w:p w14:paraId="0C1BEE32" w14:textId="77777777" w:rsidR="00CB04AC" w:rsidRPr="00AC290C" w:rsidRDefault="00CB04AC" w:rsidP="00162F0E">
                <w:pPr>
                  <w:numPr>
                    <w:ilvl w:val="0"/>
                    <w:numId w:val="19"/>
                  </w:numPr>
                  <w:spacing w:after="240" w:line="240" w:lineRule="auto"/>
                  <w:ind w:hanging="357"/>
                  <w:contextualSpacing/>
                  <w:rPr>
                    <w:rFonts w:ascii="Arial" w:hAnsi="Arial" w:cs="Arial"/>
                    <w:sz w:val="24"/>
                    <w:szCs w:val="24"/>
                  </w:rPr>
                </w:pPr>
                <w:r w:rsidRPr="00AC290C">
                  <w:rPr>
                    <w:rFonts w:ascii="Arial" w:hAnsi="Arial" w:cs="Arial"/>
                    <w:sz w:val="24"/>
                    <w:szCs w:val="24"/>
                  </w:rPr>
                  <w:t>Financial, professional, and other services</w:t>
                </w:r>
              </w:p>
              <w:p w14:paraId="268DA82B" w14:textId="77777777" w:rsidR="00CB04AC" w:rsidRPr="00AC290C" w:rsidRDefault="00CB04AC" w:rsidP="00162F0E">
                <w:pPr>
                  <w:numPr>
                    <w:ilvl w:val="0"/>
                    <w:numId w:val="19"/>
                  </w:numPr>
                  <w:spacing w:after="240" w:line="240" w:lineRule="auto"/>
                  <w:ind w:hanging="357"/>
                  <w:contextualSpacing/>
                  <w:rPr>
                    <w:rFonts w:ascii="Arial" w:hAnsi="Arial" w:cs="Arial"/>
                    <w:sz w:val="24"/>
                    <w:szCs w:val="24"/>
                  </w:rPr>
                </w:pPr>
                <w:r w:rsidRPr="00AC290C">
                  <w:rPr>
                    <w:rFonts w:ascii="Arial" w:hAnsi="Arial" w:cs="Arial"/>
                    <w:sz w:val="24"/>
                    <w:szCs w:val="24"/>
                  </w:rPr>
                  <w:t>Restaurants and cafes</w:t>
                </w:r>
              </w:p>
              <w:p w14:paraId="23792F59" w14:textId="77777777" w:rsidR="00CB04AC" w:rsidRPr="00AC290C" w:rsidRDefault="00CB04AC" w:rsidP="00162F0E">
                <w:pPr>
                  <w:numPr>
                    <w:ilvl w:val="0"/>
                    <w:numId w:val="19"/>
                  </w:numPr>
                  <w:spacing w:after="240" w:line="240" w:lineRule="auto"/>
                  <w:ind w:hanging="357"/>
                  <w:contextualSpacing/>
                  <w:rPr>
                    <w:rFonts w:ascii="Arial" w:hAnsi="Arial" w:cs="Arial"/>
                    <w:sz w:val="24"/>
                    <w:szCs w:val="24"/>
                  </w:rPr>
                </w:pPr>
                <w:r w:rsidRPr="00AC290C">
                  <w:rPr>
                    <w:rFonts w:ascii="Arial" w:hAnsi="Arial" w:cs="Arial"/>
                    <w:sz w:val="24"/>
                    <w:szCs w:val="24"/>
                  </w:rPr>
                  <w:t>Hot-food takeaways</w:t>
                </w:r>
              </w:p>
              <w:p w14:paraId="7B1A25DF" w14:textId="77777777" w:rsidR="00CB04AC" w:rsidRPr="00AC290C" w:rsidRDefault="00CB04AC" w:rsidP="00162F0E">
                <w:pPr>
                  <w:numPr>
                    <w:ilvl w:val="0"/>
                    <w:numId w:val="19"/>
                  </w:numPr>
                  <w:spacing w:after="240" w:line="240" w:lineRule="auto"/>
                  <w:ind w:hanging="357"/>
                  <w:contextualSpacing/>
                  <w:rPr>
                    <w:rFonts w:ascii="Arial" w:hAnsi="Arial" w:cs="Arial"/>
                    <w:sz w:val="24"/>
                    <w:szCs w:val="24"/>
                  </w:rPr>
                </w:pPr>
                <w:r w:rsidRPr="00AC290C">
                  <w:rPr>
                    <w:rFonts w:ascii="Arial" w:hAnsi="Arial" w:cs="Arial"/>
                    <w:sz w:val="24"/>
                    <w:szCs w:val="24"/>
                  </w:rPr>
                  <w:t>Drinking establishments</w:t>
                </w:r>
              </w:p>
              <w:p w14:paraId="352BD339" w14:textId="77777777" w:rsidR="00CB04AC" w:rsidRPr="00AC290C" w:rsidRDefault="00CB04AC" w:rsidP="00162F0E">
                <w:pPr>
                  <w:numPr>
                    <w:ilvl w:val="0"/>
                    <w:numId w:val="19"/>
                  </w:numPr>
                  <w:spacing w:after="240" w:line="240" w:lineRule="auto"/>
                  <w:ind w:hanging="357"/>
                  <w:contextualSpacing/>
                  <w:rPr>
                    <w:rFonts w:ascii="Arial" w:hAnsi="Arial" w:cs="Arial"/>
                    <w:sz w:val="24"/>
                    <w:szCs w:val="24"/>
                  </w:rPr>
                </w:pPr>
                <w:r w:rsidRPr="00AC290C">
                  <w:rPr>
                    <w:rFonts w:ascii="Arial" w:hAnsi="Arial" w:cs="Arial"/>
                    <w:sz w:val="24"/>
                    <w:szCs w:val="24"/>
                  </w:rPr>
                  <w:t>Nightclubs</w:t>
                </w:r>
              </w:p>
              <w:p w14:paraId="6D530B3E" w14:textId="77777777" w:rsidR="00CB04AC" w:rsidRPr="00AC290C" w:rsidRDefault="00CB04AC" w:rsidP="00162F0E">
                <w:pPr>
                  <w:numPr>
                    <w:ilvl w:val="0"/>
                    <w:numId w:val="19"/>
                  </w:numPr>
                  <w:spacing w:after="240" w:line="240" w:lineRule="auto"/>
                  <w:ind w:hanging="357"/>
                  <w:contextualSpacing/>
                  <w:rPr>
                    <w:rFonts w:ascii="Arial" w:hAnsi="Arial" w:cs="Arial"/>
                    <w:sz w:val="24"/>
                    <w:szCs w:val="24"/>
                  </w:rPr>
                </w:pPr>
                <w:r w:rsidRPr="00AC290C">
                  <w:rPr>
                    <w:rFonts w:ascii="Arial" w:hAnsi="Arial" w:cs="Arial"/>
                    <w:sz w:val="24"/>
                    <w:szCs w:val="24"/>
                  </w:rPr>
                  <w:t>Offices</w:t>
                </w:r>
              </w:p>
              <w:p w14:paraId="25E34C0D" w14:textId="77777777" w:rsidR="00CB04AC" w:rsidRPr="00AC290C" w:rsidRDefault="00CB04AC" w:rsidP="00162F0E">
                <w:pPr>
                  <w:numPr>
                    <w:ilvl w:val="0"/>
                    <w:numId w:val="19"/>
                  </w:numPr>
                  <w:spacing w:after="240" w:line="240" w:lineRule="auto"/>
                  <w:ind w:hanging="357"/>
                  <w:contextualSpacing/>
                  <w:rPr>
                    <w:rFonts w:ascii="Arial" w:hAnsi="Arial" w:cs="Arial"/>
                    <w:sz w:val="24"/>
                    <w:szCs w:val="24"/>
                  </w:rPr>
                </w:pPr>
                <w:r w:rsidRPr="00AC290C">
                  <w:rPr>
                    <w:rFonts w:ascii="Arial" w:hAnsi="Arial" w:cs="Arial"/>
                    <w:sz w:val="24"/>
                    <w:szCs w:val="24"/>
                  </w:rPr>
                  <w:t>General industry</w:t>
                </w:r>
              </w:p>
              <w:p w14:paraId="1BE95263" w14:textId="77777777" w:rsidR="00CB04AC" w:rsidRPr="00AC290C" w:rsidRDefault="00CB04AC" w:rsidP="00162F0E">
                <w:pPr>
                  <w:numPr>
                    <w:ilvl w:val="0"/>
                    <w:numId w:val="19"/>
                  </w:numPr>
                  <w:spacing w:after="240" w:line="240" w:lineRule="auto"/>
                  <w:ind w:hanging="357"/>
                  <w:contextualSpacing/>
                  <w:rPr>
                    <w:rFonts w:ascii="Arial" w:hAnsi="Arial" w:cs="Arial"/>
                    <w:sz w:val="24"/>
                    <w:szCs w:val="24"/>
                  </w:rPr>
                </w:pPr>
                <w:r w:rsidRPr="00AC290C">
                  <w:rPr>
                    <w:rFonts w:ascii="Arial" w:hAnsi="Arial" w:cs="Arial"/>
                    <w:sz w:val="24"/>
                    <w:szCs w:val="24"/>
                  </w:rPr>
                  <w:t>Storage and distribution</w:t>
                </w:r>
              </w:p>
              <w:p w14:paraId="610A5443" w14:textId="77777777" w:rsidR="00CB04AC" w:rsidRPr="00AC290C" w:rsidRDefault="00CB04AC" w:rsidP="00162F0E">
                <w:pPr>
                  <w:numPr>
                    <w:ilvl w:val="0"/>
                    <w:numId w:val="19"/>
                  </w:numPr>
                  <w:spacing w:after="240" w:line="240" w:lineRule="auto"/>
                  <w:ind w:hanging="357"/>
                  <w:contextualSpacing/>
                  <w:rPr>
                    <w:rFonts w:ascii="Arial" w:hAnsi="Arial" w:cs="Arial"/>
                    <w:sz w:val="24"/>
                    <w:szCs w:val="24"/>
                  </w:rPr>
                </w:pPr>
                <w:r w:rsidRPr="00AC290C">
                  <w:rPr>
                    <w:rFonts w:ascii="Arial" w:hAnsi="Arial" w:cs="Arial"/>
                    <w:sz w:val="24"/>
                    <w:szCs w:val="24"/>
                  </w:rPr>
                  <w:t>Non-residential institutions not included in Most Vulnerable or Highly Vulnerable Uses</w:t>
                </w:r>
              </w:p>
              <w:p w14:paraId="644F864C" w14:textId="77777777" w:rsidR="00CB04AC" w:rsidRPr="00AC290C" w:rsidRDefault="00CB04AC" w:rsidP="00162F0E">
                <w:pPr>
                  <w:numPr>
                    <w:ilvl w:val="0"/>
                    <w:numId w:val="19"/>
                  </w:numPr>
                  <w:spacing w:after="240" w:line="240" w:lineRule="auto"/>
                  <w:ind w:hanging="357"/>
                  <w:contextualSpacing/>
                  <w:rPr>
                    <w:rFonts w:ascii="Arial" w:hAnsi="Arial" w:cs="Arial"/>
                    <w:sz w:val="24"/>
                    <w:szCs w:val="24"/>
                  </w:rPr>
                </w:pPr>
                <w:r w:rsidRPr="00AC290C">
                  <w:rPr>
                    <w:rFonts w:ascii="Arial" w:hAnsi="Arial" w:cs="Arial"/>
                    <w:sz w:val="24"/>
                    <w:szCs w:val="24"/>
                  </w:rPr>
                  <w:t>Assembly and leisure</w:t>
                </w:r>
              </w:p>
              <w:p w14:paraId="59E00A64" w14:textId="77777777" w:rsidR="00CB04AC" w:rsidRPr="00AC290C" w:rsidRDefault="00CB04AC" w:rsidP="00162F0E">
                <w:pPr>
                  <w:numPr>
                    <w:ilvl w:val="0"/>
                    <w:numId w:val="19"/>
                  </w:numPr>
                  <w:spacing w:after="240" w:line="240" w:lineRule="auto"/>
                  <w:ind w:hanging="357"/>
                  <w:contextualSpacing/>
                  <w:rPr>
                    <w:rFonts w:ascii="Arial" w:hAnsi="Arial" w:cs="Arial"/>
                    <w:sz w:val="24"/>
                    <w:szCs w:val="24"/>
                  </w:rPr>
                </w:pPr>
                <w:r w:rsidRPr="00AC290C">
                  <w:rPr>
                    <w:rFonts w:ascii="Arial" w:hAnsi="Arial" w:cs="Arial"/>
                    <w:sz w:val="24"/>
                    <w:szCs w:val="24"/>
                  </w:rPr>
                  <w:t>Land and buildings used for agriculture and forestry that are subject to planning control.</w:t>
                </w:r>
              </w:p>
              <w:p w14:paraId="02FB970B" w14:textId="77777777" w:rsidR="00CB04AC" w:rsidRPr="00AC290C" w:rsidRDefault="00CB04AC" w:rsidP="00162F0E">
                <w:pPr>
                  <w:numPr>
                    <w:ilvl w:val="0"/>
                    <w:numId w:val="19"/>
                  </w:numPr>
                  <w:spacing w:after="240" w:line="240" w:lineRule="auto"/>
                  <w:ind w:hanging="357"/>
                  <w:contextualSpacing/>
                  <w:rPr>
                    <w:rFonts w:ascii="Arial" w:hAnsi="Arial" w:cs="Arial"/>
                    <w:sz w:val="24"/>
                    <w:szCs w:val="24"/>
                  </w:rPr>
                </w:pPr>
                <w:r w:rsidRPr="00AC290C">
                  <w:rPr>
                    <w:rFonts w:ascii="Arial" w:hAnsi="Arial" w:cs="Arial"/>
                    <w:sz w:val="24"/>
                    <w:szCs w:val="24"/>
                  </w:rPr>
                  <w:t>Waste treatment (except landfill and hazardous waste facilities</w:t>
                </w:r>
              </w:p>
              <w:p w14:paraId="08DE2604" w14:textId="77777777" w:rsidR="00CB04AC" w:rsidRPr="00AC290C" w:rsidRDefault="00CB04AC" w:rsidP="00162F0E">
                <w:pPr>
                  <w:numPr>
                    <w:ilvl w:val="0"/>
                    <w:numId w:val="19"/>
                  </w:numPr>
                  <w:spacing w:after="240" w:line="240" w:lineRule="auto"/>
                  <w:ind w:hanging="357"/>
                  <w:contextualSpacing/>
                  <w:rPr>
                    <w:rFonts w:ascii="Arial" w:hAnsi="Arial" w:cs="Arial"/>
                    <w:sz w:val="24"/>
                    <w:szCs w:val="24"/>
                  </w:rPr>
                </w:pPr>
                <w:r w:rsidRPr="00AC290C">
                  <w:rPr>
                    <w:rFonts w:ascii="Arial" w:hAnsi="Arial" w:cs="Arial"/>
                    <w:sz w:val="24"/>
                    <w:szCs w:val="24"/>
                  </w:rPr>
                  <w:t>Minerals working and processing (except for sand and gravel)</w:t>
                </w:r>
              </w:p>
              <w:p w14:paraId="4D651097" w14:textId="77777777" w:rsidR="00CB04AC" w:rsidRPr="00AC290C" w:rsidRDefault="00CB04AC" w:rsidP="00162F0E">
                <w:pPr>
                  <w:spacing w:after="4" w:line="250" w:lineRule="auto"/>
                  <w:ind w:left="360"/>
                  <w:contextualSpacing/>
                  <w:rPr>
                    <w:rFonts w:ascii="Arial" w:hAnsi="Arial" w:cs="Arial"/>
                    <w:sz w:val="24"/>
                    <w:szCs w:val="24"/>
                  </w:rPr>
                </w:pPr>
              </w:p>
            </w:tc>
            <w:tc>
              <w:tcPr>
                <w:tcW w:w="4284" w:type="dxa"/>
              </w:tcPr>
              <w:p w14:paraId="393A56F9" w14:textId="458257E5" w:rsidR="00CB04AC" w:rsidRDefault="00CB04AC" w:rsidP="00162F0E">
                <w:pPr>
                  <w:spacing w:after="4" w:line="250" w:lineRule="auto"/>
                  <w:rPr>
                    <w:rFonts w:ascii="Arial" w:hAnsi="Arial" w:cs="Arial"/>
                    <w:sz w:val="24"/>
                    <w:szCs w:val="24"/>
                  </w:rPr>
                </w:pPr>
                <w:hyperlink r:id="rId35" w:history="1">
                  <w:r w:rsidRPr="007D585B">
                    <w:rPr>
                      <w:rStyle w:val="Hyperlink"/>
                      <w:rFonts w:ascii="Arial" w:hAnsi="Arial" w:cs="Arial"/>
                      <w:sz w:val="24"/>
                      <w:szCs w:val="24"/>
                      <w:lang w:eastAsia="en-US"/>
                    </w:rPr>
                    <w:t>As per NPF4 Glossary</w:t>
                  </w:r>
                </w:hyperlink>
                <w:r>
                  <w:rPr>
                    <w:rFonts w:ascii="Arial" w:hAnsi="Arial" w:cs="Arial"/>
                    <w:sz w:val="24"/>
                    <w:szCs w:val="24"/>
                  </w:rPr>
                  <w:t>, i</w:t>
                </w:r>
                <w:r w:rsidRPr="00E275AC">
                  <w:rPr>
                    <w:rFonts w:ascii="Arial" w:hAnsi="Arial" w:cs="Arial"/>
                    <w:sz w:val="24"/>
                    <w:szCs w:val="24"/>
                  </w:rPr>
                  <w:t xml:space="preserve">ncludes: </w:t>
                </w:r>
              </w:p>
              <w:p w14:paraId="0E276F1E" w14:textId="77777777" w:rsidR="00CB04AC" w:rsidRPr="00466EC2" w:rsidRDefault="00CB04AC" w:rsidP="00162F0E">
                <w:pPr>
                  <w:spacing w:after="4" w:line="250" w:lineRule="auto"/>
                  <w:rPr>
                    <w:rFonts w:ascii="Arial" w:hAnsi="Arial" w:cs="Arial"/>
                    <w:sz w:val="24"/>
                    <w:szCs w:val="24"/>
                  </w:rPr>
                </w:pPr>
              </w:p>
              <w:p w14:paraId="19DE9184" w14:textId="77777777" w:rsidR="00CB04AC" w:rsidRPr="00E275AC" w:rsidRDefault="00CB04AC" w:rsidP="00162F0E">
                <w:pPr>
                  <w:numPr>
                    <w:ilvl w:val="0"/>
                    <w:numId w:val="18"/>
                  </w:numPr>
                  <w:spacing w:after="4" w:line="250" w:lineRule="auto"/>
                  <w:ind w:left="357" w:hanging="357"/>
                  <w:contextualSpacing/>
                  <w:rPr>
                    <w:rFonts w:ascii="Arial" w:hAnsi="Arial" w:cs="Arial"/>
                    <w:b/>
                    <w:bCs/>
                    <w:sz w:val="24"/>
                    <w:szCs w:val="24"/>
                  </w:rPr>
                </w:pPr>
                <w:r w:rsidRPr="00E275AC">
                  <w:rPr>
                    <w:rFonts w:ascii="Arial" w:hAnsi="Arial" w:cs="Arial"/>
                    <w:sz w:val="24"/>
                    <w:szCs w:val="24"/>
                  </w:rPr>
                  <w:t>Digital communications infrastructure</w:t>
                </w:r>
              </w:p>
              <w:p w14:paraId="0A81309A" w14:textId="77777777" w:rsidR="00CB04AC" w:rsidRPr="00E275AC" w:rsidRDefault="00CB04AC" w:rsidP="00162F0E">
                <w:pPr>
                  <w:numPr>
                    <w:ilvl w:val="0"/>
                    <w:numId w:val="18"/>
                  </w:numPr>
                  <w:spacing w:after="4" w:line="250" w:lineRule="auto"/>
                  <w:ind w:left="357" w:hanging="357"/>
                  <w:contextualSpacing/>
                  <w:rPr>
                    <w:rFonts w:ascii="Arial" w:hAnsi="Arial" w:cs="Arial"/>
                    <w:b/>
                    <w:bCs/>
                    <w:sz w:val="24"/>
                    <w:szCs w:val="24"/>
                  </w:rPr>
                </w:pPr>
                <w:r w:rsidRPr="00E275AC">
                  <w:rPr>
                    <w:rFonts w:ascii="Arial" w:hAnsi="Arial" w:cs="Arial"/>
                    <w:sz w:val="24"/>
                    <w:szCs w:val="24"/>
                  </w:rPr>
                  <w:t>Telecommunications infrastructure</w:t>
                </w:r>
              </w:p>
              <w:p w14:paraId="1932278A" w14:textId="77777777" w:rsidR="00CB04AC" w:rsidRPr="00E275AC" w:rsidRDefault="00CB04AC" w:rsidP="00162F0E">
                <w:pPr>
                  <w:numPr>
                    <w:ilvl w:val="0"/>
                    <w:numId w:val="18"/>
                  </w:numPr>
                  <w:spacing w:after="4" w:line="250" w:lineRule="auto"/>
                  <w:ind w:left="357" w:hanging="357"/>
                  <w:contextualSpacing/>
                  <w:rPr>
                    <w:rFonts w:ascii="Arial" w:hAnsi="Arial" w:cs="Arial"/>
                    <w:b/>
                    <w:bCs/>
                    <w:sz w:val="24"/>
                    <w:szCs w:val="24"/>
                  </w:rPr>
                </w:pPr>
                <w:r w:rsidRPr="00E275AC">
                  <w:rPr>
                    <w:rFonts w:ascii="Arial" w:hAnsi="Arial" w:cs="Arial"/>
                    <w:sz w:val="24"/>
                    <w:szCs w:val="24"/>
                  </w:rPr>
                  <w:t>All forms of renewable, low-carbon and zero emission technologies</w:t>
                </w:r>
                <w:r>
                  <w:rPr>
                    <w:rStyle w:val="FootnoteReference"/>
                    <w:rFonts w:ascii="Arial" w:hAnsi="Arial" w:cs="Arial"/>
                    <w:sz w:val="24"/>
                    <w:szCs w:val="24"/>
                  </w:rPr>
                  <w:footnoteReference w:id="4"/>
                </w:r>
                <w:r w:rsidRPr="00E275AC">
                  <w:rPr>
                    <w:rFonts w:ascii="Arial" w:hAnsi="Arial" w:cs="Arial"/>
                    <w:sz w:val="24"/>
                    <w:szCs w:val="24"/>
                  </w:rPr>
                  <w:t xml:space="preserve"> for electricity generation and distribution and transmission electricity grid networks and primary sub stations </w:t>
                </w:r>
              </w:p>
              <w:p w14:paraId="34239753" w14:textId="77777777" w:rsidR="00CB04AC" w:rsidRPr="00E275AC" w:rsidRDefault="00CB04AC" w:rsidP="00162F0E">
                <w:pPr>
                  <w:numPr>
                    <w:ilvl w:val="0"/>
                    <w:numId w:val="18"/>
                  </w:numPr>
                  <w:spacing w:after="4" w:line="250" w:lineRule="auto"/>
                  <w:ind w:left="357" w:hanging="357"/>
                  <w:contextualSpacing/>
                  <w:rPr>
                    <w:rFonts w:ascii="Arial" w:hAnsi="Arial" w:cs="Arial"/>
                    <w:b/>
                    <w:bCs/>
                    <w:sz w:val="24"/>
                    <w:szCs w:val="24"/>
                  </w:rPr>
                </w:pPr>
                <w:r w:rsidRPr="00E275AC">
                  <w:rPr>
                    <w:rFonts w:ascii="Arial" w:hAnsi="Arial" w:cs="Arial"/>
                    <w:sz w:val="24"/>
                    <w:szCs w:val="24"/>
                  </w:rPr>
                  <w:t>Water and wastewater infrastructure</w:t>
                </w:r>
              </w:p>
              <w:p w14:paraId="54711BD9" w14:textId="77777777" w:rsidR="00CB04AC" w:rsidRPr="00E275AC" w:rsidRDefault="00CB04AC" w:rsidP="00162F0E">
                <w:pPr>
                  <w:numPr>
                    <w:ilvl w:val="0"/>
                    <w:numId w:val="18"/>
                  </w:numPr>
                  <w:spacing w:after="4" w:line="250" w:lineRule="auto"/>
                  <w:ind w:left="357" w:hanging="357"/>
                  <w:contextualSpacing/>
                  <w:rPr>
                    <w:rFonts w:ascii="Arial" w:hAnsi="Arial" w:cs="Arial"/>
                    <w:b/>
                    <w:bCs/>
                    <w:sz w:val="24"/>
                    <w:szCs w:val="24"/>
                  </w:rPr>
                </w:pPr>
                <w:r w:rsidRPr="00E275AC">
                  <w:rPr>
                    <w:rFonts w:ascii="Arial" w:hAnsi="Arial" w:cs="Arial"/>
                    <w:sz w:val="24"/>
                    <w:szCs w:val="24"/>
                  </w:rPr>
                  <w:t>Transport proposals and travel networks identified in the local development plan.</w:t>
                </w:r>
              </w:p>
              <w:p w14:paraId="124645BA" w14:textId="77777777" w:rsidR="00CB04AC" w:rsidRPr="00E275AC" w:rsidRDefault="00CB04AC" w:rsidP="00162F0E">
                <w:pPr>
                  <w:spacing w:after="240"/>
                  <w:rPr>
                    <w:rFonts w:ascii="Arial" w:hAnsi="Arial" w:cs="Arial"/>
                    <w:sz w:val="24"/>
                    <w:szCs w:val="24"/>
                  </w:rPr>
                </w:pPr>
              </w:p>
            </w:tc>
            <w:tc>
              <w:tcPr>
                <w:tcW w:w="4284" w:type="dxa"/>
              </w:tcPr>
              <w:p w14:paraId="2CEDA7A5" w14:textId="62138491" w:rsidR="00CB04AC" w:rsidRPr="00E275AC" w:rsidRDefault="00CB04AC" w:rsidP="00162F0E">
                <w:pPr>
                  <w:spacing w:after="4" w:line="250" w:lineRule="auto"/>
                  <w:rPr>
                    <w:rFonts w:ascii="Arial" w:hAnsi="Arial" w:cs="Arial"/>
                    <w:sz w:val="24"/>
                    <w:szCs w:val="24"/>
                  </w:rPr>
                </w:pPr>
                <w:hyperlink r:id="rId36" w:history="1">
                  <w:r w:rsidRPr="007D585B">
                    <w:rPr>
                      <w:rStyle w:val="Hyperlink"/>
                      <w:rFonts w:ascii="Arial" w:hAnsi="Arial" w:cs="Arial"/>
                      <w:sz w:val="24"/>
                      <w:szCs w:val="24"/>
                      <w:lang w:eastAsia="en-US"/>
                    </w:rPr>
                    <w:t>As per NPF4 Glossary</w:t>
                  </w:r>
                </w:hyperlink>
                <w:r>
                  <w:rPr>
                    <w:rFonts w:ascii="Arial" w:hAnsi="Arial" w:cs="Arial"/>
                    <w:sz w:val="24"/>
                    <w:szCs w:val="24"/>
                  </w:rPr>
                  <w:t>, c</w:t>
                </w:r>
                <w:r w:rsidRPr="00E275AC">
                  <w:rPr>
                    <w:rFonts w:ascii="Arial" w:hAnsi="Arial" w:cs="Arial"/>
                    <w:sz w:val="24"/>
                    <w:szCs w:val="24"/>
                  </w:rPr>
                  <w:t xml:space="preserve">omprises: </w:t>
                </w:r>
              </w:p>
              <w:p w14:paraId="34452BD3" w14:textId="77777777" w:rsidR="00CB04AC" w:rsidRPr="00E275AC" w:rsidRDefault="00CB04AC" w:rsidP="00162F0E">
                <w:pPr>
                  <w:spacing w:after="4" w:line="250" w:lineRule="auto"/>
                  <w:ind w:left="360"/>
                  <w:contextualSpacing/>
                  <w:rPr>
                    <w:rFonts w:ascii="Arial" w:hAnsi="Arial" w:cs="Arial"/>
                    <w:b/>
                    <w:bCs/>
                    <w:sz w:val="24"/>
                    <w:szCs w:val="24"/>
                  </w:rPr>
                </w:pPr>
              </w:p>
              <w:p w14:paraId="5CAF110C" w14:textId="77777777" w:rsidR="00CB04AC" w:rsidRPr="00E275AC" w:rsidRDefault="00CB04AC" w:rsidP="00162F0E">
                <w:pPr>
                  <w:numPr>
                    <w:ilvl w:val="0"/>
                    <w:numId w:val="18"/>
                  </w:numPr>
                  <w:spacing w:after="4" w:line="250" w:lineRule="auto"/>
                  <w:contextualSpacing/>
                  <w:rPr>
                    <w:rFonts w:ascii="Arial" w:hAnsi="Arial" w:cs="Arial"/>
                    <w:b/>
                    <w:bCs/>
                    <w:sz w:val="24"/>
                    <w:szCs w:val="24"/>
                  </w:rPr>
                </w:pPr>
                <w:r w:rsidRPr="00E275AC">
                  <w:rPr>
                    <w:rFonts w:ascii="Arial" w:hAnsi="Arial" w:cs="Arial"/>
                    <w:sz w:val="24"/>
                    <w:szCs w:val="24"/>
                  </w:rPr>
                  <w:t>Flood control infrastructure</w:t>
                </w:r>
              </w:p>
              <w:p w14:paraId="432DD991" w14:textId="77777777" w:rsidR="00CB04AC" w:rsidRPr="00E275AC" w:rsidRDefault="00CB04AC" w:rsidP="00162F0E">
                <w:pPr>
                  <w:numPr>
                    <w:ilvl w:val="0"/>
                    <w:numId w:val="18"/>
                  </w:numPr>
                  <w:spacing w:after="4" w:line="250" w:lineRule="auto"/>
                  <w:contextualSpacing/>
                  <w:rPr>
                    <w:rFonts w:ascii="Arial" w:hAnsi="Arial" w:cs="Arial"/>
                    <w:b/>
                    <w:bCs/>
                    <w:sz w:val="24"/>
                    <w:szCs w:val="24"/>
                  </w:rPr>
                </w:pPr>
                <w:r w:rsidRPr="00E275AC">
                  <w:rPr>
                    <w:rFonts w:ascii="Arial" w:hAnsi="Arial" w:cs="Arial"/>
                    <w:sz w:val="24"/>
                    <w:szCs w:val="24"/>
                  </w:rPr>
                  <w:t>Environmental monitoring stations</w:t>
                </w:r>
              </w:p>
              <w:p w14:paraId="51007235" w14:textId="77777777" w:rsidR="00CB04AC" w:rsidRPr="00E275AC" w:rsidRDefault="00CB04AC" w:rsidP="00162F0E">
                <w:pPr>
                  <w:numPr>
                    <w:ilvl w:val="0"/>
                    <w:numId w:val="18"/>
                  </w:numPr>
                  <w:spacing w:after="4" w:line="250" w:lineRule="auto"/>
                  <w:contextualSpacing/>
                  <w:rPr>
                    <w:rFonts w:ascii="Arial" w:hAnsi="Arial" w:cs="Arial"/>
                    <w:b/>
                    <w:bCs/>
                    <w:sz w:val="24"/>
                    <w:szCs w:val="24"/>
                  </w:rPr>
                </w:pPr>
                <w:r w:rsidRPr="00E275AC">
                  <w:rPr>
                    <w:rFonts w:ascii="Arial" w:hAnsi="Arial" w:cs="Arial"/>
                    <w:sz w:val="24"/>
                    <w:szCs w:val="24"/>
                  </w:rPr>
                  <w:t xml:space="preserve">Water transmission infrastructure and pumping stations </w:t>
                </w:r>
              </w:p>
              <w:p w14:paraId="192A2FA0" w14:textId="77777777" w:rsidR="00CB04AC" w:rsidRPr="00E275AC" w:rsidRDefault="00CB04AC" w:rsidP="00162F0E">
                <w:pPr>
                  <w:numPr>
                    <w:ilvl w:val="0"/>
                    <w:numId w:val="18"/>
                  </w:numPr>
                  <w:spacing w:after="4" w:line="250" w:lineRule="auto"/>
                  <w:contextualSpacing/>
                  <w:rPr>
                    <w:rFonts w:ascii="Arial" w:hAnsi="Arial" w:cs="Arial"/>
                    <w:b/>
                    <w:bCs/>
                    <w:sz w:val="24"/>
                    <w:szCs w:val="24"/>
                  </w:rPr>
                </w:pPr>
                <w:r w:rsidRPr="00E275AC">
                  <w:rPr>
                    <w:rFonts w:ascii="Arial" w:hAnsi="Arial" w:cs="Arial"/>
                    <w:sz w:val="24"/>
                    <w:szCs w:val="24"/>
                  </w:rPr>
                  <w:t>Sewage transmission infrastructure and pumping stations</w:t>
                </w:r>
              </w:p>
              <w:p w14:paraId="0271D4D6" w14:textId="77777777" w:rsidR="00CB04AC" w:rsidRPr="00E275AC" w:rsidRDefault="00CB04AC" w:rsidP="00162F0E">
                <w:pPr>
                  <w:numPr>
                    <w:ilvl w:val="0"/>
                    <w:numId w:val="18"/>
                  </w:numPr>
                  <w:spacing w:after="4" w:line="250" w:lineRule="auto"/>
                  <w:contextualSpacing/>
                  <w:rPr>
                    <w:rFonts w:ascii="Arial" w:hAnsi="Arial" w:cs="Arial"/>
                    <w:b/>
                    <w:bCs/>
                    <w:sz w:val="24"/>
                    <w:szCs w:val="24"/>
                  </w:rPr>
                </w:pPr>
                <w:r w:rsidRPr="00E275AC">
                  <w:rPr>
                    <w:rFonts w:ascii="Arial" w:hAnsi="Arial" w:cs="Arial"/>
                    <w:sz w:val="24"/>
                    <w:szCs w:val="24"/>
                  </w:rPr>
                  <w:t>Sand and gravel workings</w:t>
                </w:r>
              </w:p>
              <w:p w14:paraId="63FEC2B3" w14:textId="77777777" w:rsidR="00CB04AC" w:rsidRPr="00E275AC" w:rsidRDefault="00CB04AC" w:rsidP="00162F0E">
                <w:pPr>
                  <w:numPr>
                    <w:ilvl w:val="0"/>
                    <w:numId w:val="18"/>
                  </w:numPr>
                  <w:spacing w:after="4" w:line="250" w:lineRule="auto"/>
                  <w:contextualSpacing/>
                  <w:rPr>
                    <w:rFonts w:ascii="Arial" w:hAnsi="Arial" w:cs="Arial"/>
                    <w:b/>
                    <w:bCs/>
                    <w:sz w:val="24"/>
                    <w:szCs w:val="24"/>
                  </w:rPr>
                </w:pPr>
                <w:r w:rsidRPr="00E275AC">
                  <w:rPr>
                    <w:rFonts w:ascii="Arial" w:hAnsi="Arial" w:cs="Arial"/>
                    <w:sz w:val="24"/>
                    <w:szCs w:val="24"/>
                  </w:rPr>
                  <w:t>Docks, marinas and wharves</w:t>
                </w:r>
              </w:p>
              <w:p w14:paraId="3F802645" w14:textId="77777777" w:rsidR="00CB04AC" w:rsidRPr="00E275AC" w:rsidRDefault="00CB04AC" w:rsidP="00162F0E">
                <w:pPr>
                  <w:numPr>
                    <w:ilvl w:val="0"/>
                    <w:numId w:val="18"/>
                  </w:numPr>
                  <w:spacing w:after="4" w:line="250" w:lineRule="auto"/>
                  <w:contextualSpacing/>
                  <w:rPr>
                    <w:rFonts w:ascii="Arial" w:hAnsi="Arial" w:cs="Arial"/>
                    <w:b/>
                    <w:bCs/>
                    <w:sz w:val="24"/>
                    <w:szCs w:val="24"/>
                  </w:rPr>
                </w:pPr>
                <w:r w:rsidRPr="00E275AC">
                  <w:rPr>
                    <w:rFonts w:ascii="Arial" w:hAnsi="Arial" w:cs="Arial"/>
                    <w:sz w:val="24"/>
                    <w:szCs w:val="24"/>
                  </w:rPr>
                  <w:t xml:space="preserve">Ministry of Defence (MOD) defence installations </w:t>
                </w:r>
              </w:p>
              <w:p w14:paraId="3248FC5C" w14:textId="77777777" w:rsidR="00CB04AC" w:rsidRPr="00E275AC" w:rsidRDefault="00CB04AC" w:rsidP="00162F0E">
                <w:pPr>
                  <w:numPr>
                    <w:ilvl w:val="0"/>
                    <w:numId w:val="18"/>
                  </w:numPr>
                  <w:spacing w:after="4" w:line="250" w:lineRule="auto"/>
                  <w:contextualSpacing/>
                  <w:rPr>
                    <w:rFonts w:ascii="Arial" w:hAnsi="Arial" w:cs="Arial"/>
                    <w:b/>
                    <w:bCs/>
                    <w:sz w:val="24"/>
                    <w:szCs w:val="24"/>
                  </w:rPr>
                </w:pPr>
                <w:r w:rsidRPr="00E275AC">
                  <w:rPr>
                    <w:rFonts w:ascii="Arial" w:hAnsi="Arial" w:cs="Arial"/>
                    <w:sz w:val="24"/>
                    <w:szCs w:val="24"/>
                  </w:rPr>
                  <w:t>Ship building, repairing, and dismantling.</w:t>
                </w:r>
              </w:p>
              <w:p w14:paraId="3506205A" w14:textId="77777777" w:rsidR="00CB04AC" w:rsidRPr="00E275AC" w:rsidRDefault="00CB04AC" w:rsidP="00162F0E">
                <w:pPr>
                  <w:numPr>
                    <w:ilvl w:val="0"/>
                    <w:numId w:val="18"/>
                  </w:numPr>
                  <w:spacing w:after="4" w:line="250" w:lineRule="auto"/>
                  <w:contextualSpacing/>
                  <w:rPr>
                    <w:rFonts w:ascii="Arial" w:hAnsi="Arial" w:cs="Arial"/>
                    <w:b/>
                    <w:bCs/>
                    <w:sz w:val="24"/>
                    <w:szCs w:val="24"/>
                  </w:rPr>
                </w:pPr>
                <w:r w:rsidRPr="00E275AC">
                  <w:rPr>
                    <w:rFonts w:ascii="Arial" w:hAnsi="Arial" w:cs="Arial"/>
                    <w:sz w:val="24"/>
                    <w:szCs w:val="24"/>
                  </w:rPr>
                  <w:t>Dockside fish processing and refrigeration and compatible activities requiring a waterside location.</w:t>
                </w:r>
              </w:p>
              <w:p w14:paraId="4713E8BF" w14:textId="77777777" w:rsidR="00CB04AC" w:rsidRPr="00E275AC" w:rsidRDefault="00CB04AC" w:rsidP="00162F0E">
                <w:pPr>
                  <w:numPr>
                    <w:ilvl w:val="0"/>
                    <w:numId w:val="18"/>
                  </w:numPr>
                  <w:spacing w:after="4" w:line="250" w:lineRule="auto"/>
                  <w:contextualSpacing/>
                  <w:rPr>
                    <w:rFonts w:ascii="Arial" w:hAnsi="Arial" w:cs="Arial"/>
                    <w:b/>
                    <w:bCs/>
                    <w:sz w:val="24"/>
                    <w:szCs w:val="24"/>
                  </w:rPr>
                </w:pPr>
                <w:r w:rsidRPr="00E275AC">
                  <w:rPr>
                    <w:rFonts w:ascii="Arial" w:hAnsi="Arial" w:cs="Arial"/>
                    <w:sz w:val="24"/>
                    <w:szCs w:val="24"/>
                  </w:rPr>
                  <w:t>Water-based recreation (excluding sleeping accommodation)</w:t>
                </w:r>
              </w:p>
              <w:p w14:paraId="61D4CF3C" w14:textId="77777777" w:rsidR="00CB04AC" w:rsidRPr="00E275AC" w:rsidRDefault="00CB04AC" w:rsidP="00162F0E">
                <w:pPr>
                  <w:numPr>
                    <w:ilvl w:val="0"/>
                    <w:numId w:val="18"/>
                  </w:numPr>
                  <w:spacing w:after="4" w:line="250" w:lineRule="auto"/>
                  <w:contextualSpacing/>
                  <w:rPr>
                    <w:rFonts w:ascii="Arial" w:hAnsi="Arial" w:cs="Arial"/>
                    <w:b/>
                    <w:bCs/>
                    <w:sz w:val="24"/>
                    <w:szCs w:val="24"/>
                  </w:rPr>
                </w:pPr>
                <w:r w:rsidRPr="00E275AC">
                  <w:rPr>
                    <w:rFonts w:ascii="Arial" w:hAnsi="Arial" w:cs="Arial"/>
                    <w:sz w:val="24"/>
                    <w:szCs w:val="24"/>
                  </w:rPr>
                  <w:t>Lifeguard and coastguard stations</w:t>
                </w:r>
              </w:p>
              <w:p w14:paraId="3C1F278F" w14:textId="77777777" w:rsidR="00CB04AC" w:rsidRPr="00E275AC" w:rsidRDefault="00CB04AC" w:rsidP="00162F0E">
                <w:pPr>
                  <w:numPr>
                    <w:ilvl w:val="0"/>
                    <w:numId w:val="18"/>
                  </w:numPr>
                  <w:spacing w:after="4" w:line="250" w:lineRule="auto"/>
                  <w:contextualSpacing/>
                  <w:rPr>
                    <w:rFonts w:ascii="Arial" w:hAnsi="Arial" w:cs="Arial"/>
                    <w:b/>
                    <w:bCs/>
                    <w:sz w:val="24"/>
                    <w:szCs w:val="24"/>
                  </w:rPr>
                </w:pPr>
                <w:r w:rsidRPr="00E275AC">
                  <w:rPr>
                    <w:rFonts w:ascii="Arial" w:hAnsi="Arial" w:cs="Arial"/>
                    <w:sz w:val="24"/>
                    <w:szCs w:val="24"/>
                  </w:rPr>
                  <w:t>Amenity open space</w:t>
                </w:r>
              </w:p>
              <w:p w14:paraId="123D6EF8" w14:textId="77777777" w:rsidR="00CB04AC" w:rsidRPr="00E275AC" w:rsidRDefault="00CB04AC" w:rsidP="00162F0E">
                <w:pPr>
                  <w:numPr>
                    <w:ilvl w:val="0"/>
                    <w:numId w:val="18"/>
                  </w:numPr>
                  <w:spacing w:after="4" w:line="250" w:lineRule="auto"/>
                  <w:contextualSpacing/>
                  <w:rPr>
                    <w:rFonts w:ascii="Arial" w:hAnsi="Arial" w:cs="Arial"/>
                    <w:b/>
                    <w:bCs/>
                    <w:sz w:val="24"/>
                    <w:szCs w:val="24"/>
                  </w:rPr>
                </w:pPr>
                <w:r w:rsidRPr="00E275AC">
                  <w:rPr>
                    <w:rFonts w:ascii="Arial" w:hAnsi="Arial" w:cs="Arial"/>
                    <w:sz w:val="24"/>
                    <w:szCs w:val="24"/>
                  </w:rPr>
                  <w:t>Nature conservation and biodiversity</w:t>
                </w:r>
              </w:p>
              <w:p w14:paraId="59D6E7A6" w14:textId="77777777" w:rsidR="00CB04AC" w:rsidRPr="00E275AC" w:rsidRDefault="00CB04AC" w:rsidP="00162F0E">
                <w:pPr>
                  <w:numPr>
                    <w:ilvl w:val="0"/>
                    <w:numId w:val="18"/>
                  </w:numPr>
                  <w:spacing w:after="4" w:line="250" w:lineRule="auto"/>
                  <w:contextualSpacing/>
                  <w:rPr>
                    <w:rFonts w:ascii="Arial" w:hAnsi="Arial" w:cs="Arial"/>
                    <w:b/>
                    <w:bCs/>
                    <w:sz w:val="24"/>
                    <w:szCs w:val="24"/>
                  </w:rPr>
                </w:pPr>
                <w:r w:rsidRPr="00E275AC">
                  <w:rPr>
                    <w:rFonts w:ascii="Arial" w:hAnsi="Arial" w:cs="Arial"/>
                    <w:sz w:val="24"/>
                    <w:szCs w:val="24"/>
                  </w:rPr>
                  <w:t>Outdoor sports and recreation and essential facilities such as changing rooms</w:t>
                </w:r>
              </w:p>
              <w:p w14:paraId="2481B70E" w14:textId="77777777" w:rsidR="00CB04AC" w:rsidRPr="00E275AC" w:rsidRDefault="00CB04AC" w:rsidP="00162F0E">
                <w:pPr>
                  <w:numPr>
                    <w:ilvl w:val="0"/>
                    <w:numId w:val="18"/>
                  </w:numPr>
                  <w:spacing w:after="4" w:line="250" w:lineRule="auto"/>
                  <w:contextualSpacing/>
                  <w:rPr>
                    <w:rFonts w:ascii="Arial" w:hAnsi="Arial" w:cs="Arial"/>
                    <w:b/>
                    <w:bCs/>
                    <w:sz w:val="24"/>
                    <w:szCs w:val="24"/>
                  </w:rPr>
                </w:pPr>
                <w:r w:rsidRPr="00E275AC">
                  <w:rPr>
                    <w:rFonts w:ascii="Arial" w:hAnsi="Arial" w:cs="Arial"/>
                    <w:sz w:val="24"/>
                    <w:szCs w:val="24"/>
                  </w:rPr>
                  <w:t>Essential ancillary sleeping or residential accommodation for staff required by uses in this category, subject to a specific operational warning and evacuation plan.</w:t>
                </w:r>
              </w:p>
            </w:tc>
          </w:tr>
        </w:tbl>
        <w:p w14:paraId="26CB8CB1" w14:textId="51C2915B" w:rsidR="00CB04AC" w:rsidRDefault="00CB04AC" w:rsidP="00AC290C">
          <w:pPr>
            <w:spacing w:after="240"/>
            <w:rPr>
              <w:rFonts w:ascii="Arial" w:eastAsia="Arial" w:hAnsi="Arial" w:cs="Arial"/>
              <w:b/>
              <w:bCs/>
            </w:rPr>
            <w:sectPr w:rsidR="00CB04AC" w:rsidSect="009C2057">
              <w:headerReference w:type="even" r:id="rId37"/>
              <w:headerReference w:type="default" r:id="rId38"/>
              <w:footerReference w:type="even" r:id="rId39"/>
              <w:footerReference w:type="default" r:id="rId40"/>
              <w:headerReference w:type="first" r:id="rId41"/>
              <w:footerReference w:type="first" r:id="rId42"/>
              <w:pgSz w:w="23811" w:h="16838" w:orient="landscape" w:code="8"/>
              <w:pgMar w:top="839" w:right="839" w:bottom="839" w:left="839" w:header="794" w:footer="567" w:gutter="0"/>
              <w:pgNumType w:start="0"/>
              <w:cols w:space="708"/>
              <w:titlePg/>
              <w:docGrid w:linePitch="360"/>
            </w:sectPr>
          </w:pPr>
        </w:p>
        <w:p w14:paraId="0F796145" w14:textId="77777777" w:rsidR="00746A8B" w:rsidRDefault="00F971BB" w:rsidP="009F35AD">
          <w:pPr>
            <w:keepNext/>
            <w:keepLines/>
            <w:spacing w:after="240" w:line="276" w:lineRule="auto"/>
            <w:outlineLvl w:val="3"/>
          </w:pPr>
        </w:p>
      </w:sdtContent>
    </w:sdt>
    <w:p w14:paraId="715FEF03" w14:textId="65267592" w:rsidR="00FE2B23" w:rsidRPr="00746A8B" w:rsidRDefault="00FE2B23" w:rsidP="00746A8B">
      <w:pPr>
        <w:keepNext/>
        <w:keepLines/>
        <w:spacing w:after="240"/>
        <w:outlineLvl w:val="3"/>
        <w:rPr>
          <w:sz w:val="32"/>
          <w:szCs w:val="32"/>
        </w:rPr>
      </w:pPr>
      <w:r w:rsidRPr="00746A8B">
        <w:rPr>
          <w:sz w:val="32"/>
          <w:szCs w:val="32"/>
        </w:rPr>
        <w:t xml:space="preserve">For information on accessing this document in an alternative format or language, please contact SEPA by emailing </w:t>
      </w:r>
      <w:hyperlink r:id="rId43" w:history="1">
        <w:r w:rsidRPr="00746A8B">
          <w:rPr>
            <w:color w:val="016574"/>
            <w:sz w:val="32"/>
            <w:szCs w:val="32"/>
            <w:u w:val="single"/>
          </w:rPr>
          <w:t>equalities@sepa.org.uk</w:t>
        </w:r>
      </w:hyperlink>
    </w:p>
    <w:p w14:paraId="46D568B9" w14:textId="4E8B6F3A" w:rsidR="006243FF" w:rsidRPr="00746A8B" w:rsidRDefault="00FE2B23" w:rsidP="00746A8B">
      <w:pPr>
        <w:spacing w:after="240"/>
        <w:rPr>
          <w:sz w:val="32"/>
          <w:szCs w:val="32"/>
        </w:rPr>
      </w:pPr>
      <w:r w:rsidRPr="00746A8B">
        <w:rPr>
          <w:sz w:val="32"/>
          <w:szCs w:val="32"/>
        </w:rPr>
        <w:t xml:space="preserve">If you are a user of British Sign Language (BSL), the Contact Scotland BSL service gives you access to an online interpreter, enabling you to communicate with us using sign language. </w:t>
      </w:r>
      <w:hyperlink r:id="rId44" w:history="1">
        <w:r w:rsidRPr="00746A8B">
          <w:rPr>
            <w:color w:val="016574"/>
            <w:sz w:val="32"/>
            <w:szCs w:val="32"/>
            <w:u w:val="single"/>
          </w:rPr>
          <w:t>contactscotland-bsl.org</w:t>
        </w:r>
      </w:hyperlink>
    </w:p>
    <w:sectPr w:rsidR="006243FF" w:rsidRPr="00746A8B" w:rsidSect="00BA17F4">
      <w:pgSz w:w="16838" w:h="23811" w:code="8"/>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AF4AB" w14:textId="77777777" w:rsidR="002670F3" w:rsidRDefault="002670F3" w:rsidP="00660C79">
      <w:pPr>
        <w:spacing w:line="240" w:lineRule="auto"/>
      </w:pPr>
      <w:r>
        <w:separator/>
      </w:r>
    </w:p>
  </w:endnote>
  <w:endnote w:type="continuationSeparator" w:id="0">
    <w:p w14:paraId="33513A1C" w14:textId="77777777" w:rsidR="002670F3" w:rsidRDefault="002670F3" w:rsidP="00660C79">
      <w:pPr>
        <w:spacing w:line="240" w:lineRule="auto"/>
      </w:pPr>
      <w:r>
        <w:continuationSeparator/>
      </w:r>
    </w:p>
  </w:endnote>
  <w:endnote w:type="continuationNotice" w:id="1">
    <w:p w14:paraId="7EEFFE28" w14:textId="77777777" w:rsidR="002670F3" w:rsidRDefault="002670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85105153"/>
      <w:docPartObj>
        <w:docPartGallery w:val="Page Numbers (Bottom of Page)"/>
        <w:docPartUnique/>
      </w:docPartObj>
    </w:sdtPr>
    <w:sdtEndPr>
      <w:rPr>
        <w:rStyle w:val="PageNumber"/>
      </w:rPr>
    </w:sdtEndPr>
    <w:sdtContent>
      <w:p w14:paraId="6208E441" w14:textId="77777777" w:rsidR="00AC290C" w:rsidRDefault="00AC290C" w:rsidP="00D566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31851560"/>
      <w:docPartObj>
        <w:docPartGallery w:val="Page Numbers (Bottom of Page)"/>
        <w:docPartUnique/>
      </w:docPartObj>
    </w:sdtPr>
    <w:sdtEndPr>
      <w:rPr>
        <w:rStyle w:val="PageNumber"/>
      </w:rPr>
    </w:sdtEndPr>
    <w:sdtContent>
      <w:p w14:paraId="0A298ADA" w14:textId="77777777" w:rsidR="00AC290C" w:rsidRDefault="00AC290C"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C07C9F" w14:textId="77777777" w:rsidR="00AC290C" w:rsidRDefault="00AC290C"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239D3" w14:textId="77777777" w:rsidR="00AC290C" w:rsidRDefault="00AC290C" w:rsidP="00917BB1">
    <w:pPr>
      <w:pStyle w:val="Footer"/>
      <w:ind w:right="360"/>
    </w:pPr>
    <w:r>
      <w:rPr>
        <w:noProof/>
      </w:rPr>
      <mc:AlternateContent>
        <mc:Choice Requires="wps">
          <w:drawing>
            <wp:anchor distT="0" distB="0" distL="114300" distR="114300" simplePos="0" relativeHeight="251658249" behindDoc="0" locked="0" layoutInCell="0" allowOverlap="1" wp14:anchorId="0B5B9759" wp14:editId="53C9E9C1">
              <wp:simplePos x="0" y="0"/>
              <wp:positionH relativeFrom="page">
                <wp:posOffset>0</wp:posOffset>
              </wp:positionH>
              <wp:positionV relativeFrom="page">
                <wp:posOffset>10229215</wp:posOffset>
              </wp:positionV>
              <wp:extent cx="7556500" cy="273050"/>
              <wp:effectExtent l="0" t="0" r="0" b="12700"/>
              <wp:wrapNone/>
              <wp:docPr id="85332620" name="Text Box 853326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EFD721" w14:textId="77777777" w:rsidR="00AC290C" w:rsidRPr="002369CA" w:rsidRDefault="00AC290C" w:rsidP="00D566AD">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5B9759" id="_x0000_t202" coordsize="21600,21600" o:spt="202" path="m,l,21600r21600,l21600,xe">
              <v:stroke joinstyle="miter"/>
              <v:path gradientshapeok="t" o:connecttype="rect"/>
            </v:shapetype>
            <v:shape id="Text Box 85332620" o:spid="_x0000_s1029" type="#_x0000_t202" alt="&quot;&quot;" style="position:absolute;margin-left:0;margin-top:805.45pt;width:595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4EEFD721" w14:textId="77777777" w:rsidR="00AC290C" w:rsidRPr="002369CA" w:rsidRDefault="00AC290C" w:rsidP="00D566AD">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p w14:paraId="78213402" w14:textId="77777777" w:rsidR="00AC290C" w:rsidRDefault="00AC290C" w:rsidP="00917BB1">
    <w:pPr>
      <w:pStyle w:val="Footer"/>
      <w:ind w:right="360"/>
    </w:pPr>
    <w:r>
      <w:rPr>
        <w:noProof/>
      </w:rPr>
      <mc:AlternateContent>
        <mc:Choice Requires="wps">
          <w:drawing>
            <wp:anchor distT="0" distB="0" distL="114300" distR="114300" simplePos="0" relativeHeight="251658247" behindDoc="0" locked="0" layoutInCell="1" allowOverlap="1" wp14:anchorId="04196257" wp14:editId="5CDE532F">
              <wp:simplePos x="0" y="0"/>
              <wp:positionH relativeFrom="column">
                <wp:posOffset>23826</wp:posOffset>
              </wp:positionH>
              <wp:positionV relativeFrom="paragraph">
                <wp:posOffset>74240</wp:posOffset>
              </wp:positionV>
              <wp:extent cx="6466840" cy="0"/>
              <wp:effectExtent l="0" t="0" r="10160" b="12700"/>
              <wp:wrapNone/>
              <wp:docPr id="568736858" name="Straight Connector 5687368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noFill/>
                      <a:ln w="6350" cap="flat" cmpd="sng" algn="ctr">
                        <a:solidFill>
                          <a:srgbClr val="016574"/>
                        </a:solidFill>
                        <a:prstDash val="solid"/>
                        <a:miter lim="800000"/>
                      </a:ln>
                      <a:effectLst/>
                    </wps:spPr>
                    <wps:bodyPr/>
                  </wps:wsp>
                </a:graphicData>
              </a:graphic>
            </wp:anchor>
          </w:drawing>
        </mc:Choice>
        <mc:Fallback>
          <w:pict>
            <v:line w14:anchorId="0AB6926B" id="Straight Connector 568736858" o:spid="_x0000_s1026" alt="&quot;&quot;"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" strokecolor="#016574" strokeweight=".5pt">
              <v:stroke joinstyle="miter"/>
            </v:line>
          </w:pict>
        </mc:Fallback>
      </mc:AlternateContent>
    </w:r>
  </w:p>
  <w:sdt>
    <w:sdtPr>
      <w:rPr>
        <w:rStyle w:val="PageNumber"/>
      </w:rPr>
      <w:id w:val="1824008996"/>
      <w:docPartObj>
        <w:docPartGallery w:val="Page Numbers (Bottom of Page)"/>
        <w:docPartUnique/>
      </w:docPartObj>
    </w:sdtPr>
    <w:sdtEndPr>
      <w:rPr>
        <w:rStyle w:val="PageNumber"/>
      </w:rPr>
    </w:sdtEndPr>
    <w:sdtContent>
      <w:p w14:paraId="2CD52132" w14:textId="77777777" w:rsidR="00AC290C" w:rsidRDefault="00AC290C"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67475F" w14:textId="77777777" w:rsidR="00AC290C" w:rsidRDefault="00AC290C" w:rsidP="00917BB1">
    <w:pPr>
      <w:pStyle w:val="Footer"/>
      <w:ind w:right="360"/>
    </w:pPr>
    <w:r>
      <w:rPr>
        <w:noProof/>
      </w:rPr>
      <w:drawing>
        <wp:inline distT="0" distB="0" distL="0" distR="0" wp14:anchorId="582A1906" wp14:editId="620EEB0C">
          <wp:extent cx="1007167" cy="265044"/>
          <wp:effectExtent l="0" t="0" r="0" b="1905"/>
          <wp:docPr id="722403300" name="Picture 7224033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FE82" w14:textId="77777777" w:rsidR="00AC290C" w:rsidRDefault="00AC290C">
    <w:pPr>
      <w:pStyle w:val="Footer"/>
    </w:pPr>
    <w:r>
      <w:rPr>
        <w:noProof/>
      </w:rPr>
      <mc:AlternateContent>
        <mc:Choice Requires="wps">
          <w:drawing>
            <wp:anchor distT="0" distB="0" distL="114300" distR="114300" simplePos="0" relativeHeight="251658250" behindDoc="0" locked="0" layoutInCell="0" allowOverlap="1" wp14:anchorId="6FA66862" wp14:editId="5DFF7135">
              <wp:simplePos x="0" y="0"/>
              <wp:positionH relativeFrom="page">
                <wp:posOffset>0</wp:posOffset>
              </wp:positionH>
              <wp:positionV relativeFrom="page">
                <wp:posOffset>10229215</wp:posOffset>
              </wp:positionV>
              <wp:extent cx="7556500" cy="273050"/>
              <wp:effectExtent l="0" t="0" r="0" b="12700"/>
              <wp:wrapNone/>
              <wp:docPr id="693659439" name="Text Box 6936594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59F951" w14:textId="77777777" w:rsidR="00AC290C" w:rsidRPr="002369CA" w:rsidRDefault="00AC290C" w:rsidP="00D566AD">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A66862" id="_x0000_t202" coordsize="21600,21600" o:spt="202" path="m,l,21600r21600,l21600,xe">
              <v:stroke joinstyle="miter"/>
              <v:path gradientshapeok="t" o:connecttype="rect"/>
            </v:shapetype>
            <v:shape id="Text Box 693659439" o:spid="_x0000_s1031" type="#_x0000_t202" alt="&quot;&quot;" style="position:absolute;margin-left:0;margin-top:805.45pt;width:595pt;height:21.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textbox inset=",0,,0">
                <w:txbxContent>
                  <w:p w14:paraId="4659F951" w14:textId="77777777" w:rsidR="00AC290C" w:rsidRPr="002369CA" w:rsidRDefault="00AC290C" w:rsidP="00D566AD">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64FC2" w14:textId="77777777" w:rsidR="00EC6A73" w:rsidRDefault="006551A9" w:rsidP="00D566AD">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28E58DC1" wp14:editId="097BEAE0">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3A2E9B"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E58DC1" id="_x0000_t202" coordsize="21600,21600" o:spt="202" path="m,l,21600r21600,l21600,xe">
              <v:stroke joinstyle="miter"/>
              <v:path gradientshapeok="t" o:connecttype="rect"/>
            </v:shapetype>
            <v:shape id="Text Box 11" o:spid="_x0000_s1034"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433A2E9B"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v:textbox>
              <w10:wrap anchorx="page" anchory="page"/>
            </v:shape>
          </w:pict>
        </mc:Fallback>
      </mc:AlternateContent>
    </w:r>
  </w:p>
  <w:p w14:paraId="25BEAE4E" w14:textId="77777777" w:rsidR="00EC6A73" w:rsidRDefault="00EC6A73" w:rsidP="00D566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F319E3C"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p w14:paraId="4D902A9B" w14:textId="77777777" w:rsidR="00917BB1" w:rsidRDefault="00917BB1" w:rsidP="00917BB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389F" w14:textId="77777777" w:rsidR="00EC6A73" w:rsidRDefault="006551A9" w:rsidP="00917BB1">
    <w:pPr>
      <w:pStyle w:val="Footer"/>
      <w:ind w:right="360"/>
    </w:pPr>
    <w:r>
      <w:rPr>
        <w:noProof/>
      </w:rPr>
      <mc:AlternateContent>
        <mc:Choice Requires="wps">
          <w:drawing>
            <wp:anchor distT="0" distB="0" distL="0" distR="0" simplePos="0" relativeHeight="251658246" behindDoc="0" locked="0" layoutInCell="1" allowOverlap="1" wp14:anchorId="71EE4AF8" wp14:editId="5DBF03C1">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36C98A"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EE4AF8" id="_x0000_t202" coordsize="21600,21600" o:spt="202" path="m,l,21600r21600,l21600,xe">
              <v:stroke joinstyle="miter"/>
              <v:path gradientshapeok="t" o:connecttype="rect"/>
            </v:shapetype>
            <v:shape id="Text Box 12" o:spid="_x0000_s1035"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6336C98A"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v:textbox>
              <w10:wrap anchorx="page" anchory="page"/>
            </v:shape>
          </w:pict>
        </mc:Fallback>
      </mc:AlternateContent>
    </w:r>
  </w:p>
  <w:p w14:paraId="35C73448" w14:textId="77777777" w:rsidR="00917BB1" w:rsidRDefault="000E0D15" w:rsidP="00917BB1">
    <w:pPr>
      <w:pStyle w:val="Footer"/>
      <w:ind w:right="360"/>
    </w:pPr>
    <w:r>
      <w:rPr>
        <w:noProof/>
      </w:rPr>
      <mc:AlternateContent>
        <mc:Choice Requires="wps">
          <w:drawing>
            <wp:anchor distT="0" distB="0" distL="114300" distR="114300" simplePos="0" relativeHeight="251658242" behindDoc="0" locked="0" layoutInCell="1" allowOverlap="1" wp14:anchorId="03FFE01A" wp14:editId="0A4508E2">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F41B82" id="Straight Connector 10" o:spid="_x0000_s1026" alt="&quot;&quot;"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362D8633"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B82166A" w14:textId="77777777" w:rsidR="00917BB1" w:rsidRDefault="00917BB1" w:rsidP="00917BB1">
    <w:pPr>
      <w:pStyle w:val="Footer"/>
      <w:ind w:right="360"/>
    </w:pPr>
    <w:r>
      <w:rPr>
        <w:noProof/>
      </w:rPr>
      <w:drawing>
        <wp:inline distT="0" distB="0" distL="0" distR="0" wp14:anchorId="15728BDD" wp14:editId="666C54E1">
          <wp:extent cx="1007167" cy="265044"/>
          <wp:effectExtent l="0" t="0" r="0" b="1905"/>
          <wp:docPr id="1701653822" name="Picture 17016538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DA53" w14:textId="3F2F85C6" w:rsidR="006551A9" w:rsidRDefault="00655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81F6D" w14:textId="77777777" w:rsidR="002670F3" w:rsidRDefault="002670F3" w:rsidP="00660C79">
      <w:pPr>
        <w:spacing w:line="240" w:lineRule="auto"/>
      </w:pPr>
      <w:r>
        <w:separator/>
      </w:r>
    </w:p>
  </w:footnote>
  <w:footnote w:type="continuationSeparator" w:id="0">
    <w:p w14:paraId="2AD6D4C5" w14:textId="77777777" w:rsidR="002670F3" w:rsidRDefault="002670F3" w:rsidP="00660C79">
      <w:pPr>
        <w:spacing w:line="240" w:lineRule="auto"/>
      </w:pPr>
      <w:r>
        <w:continuationSeparator/>
      </w:r>
    </w:p>
  </w:footnote>
  <w:footnote w:type="continuationNotice" w:id="1">
    <w:p w14:paraId="29B20226" w14:textId="77777777" w:rsidR="002670F3" w:rsidRDefault="002670F3">
      <w:pPr>
        <w:spacing w:line="240" w:lineRule="auto"/>
      </w:pPr>
    </w:p>
  </w:footnote>
  <w:footnote w:id="2">
    <w:p w14:paraId="330BD495" w14:textId="37392392" w:rsidR="00460073" w:rsidRPr="0064707F" w:rsidRDefault="00460073" w:rsidP="0099454C">
      <w:pPr>
        <w:spacing w:after="240"/>
        <w:textAlignment w:val="baseline"/>
        <w:rPr>
          <w:rStyle w:val="normaltextrun"/>
          <w:rFonts w:ascii="Arial" w:eastAsia="Times New Roman" w:hAnsi="Arial" w:cs="Arial"/>
          <w:lang w:eastAsia="en-GB"/>
        </w:rPr>
      </w:pPr>
      <w:r w:rsidRPr="0064707F">
        <w:rPr>
          <w:rStyle w:val="FootnoteReference"/>
        </w:rPr>
        <w:footnoteRef/>
      </w:r>
      <w:r w:rsidRPr="0064707F">
        <w:t xml:space="preserve"> </w:t>
      </w:r>
      <w:r w:rsidRPr="0064707F">
        <w:rPr>
          <w:rStyle w:val="normaltextrun"/>
          <w:rFonts w:eastAsiaTheme="majorEastAsia" w:cstheme="minorHAnsi"/>
        </w:rPr>
        <w:t xml:space="preserve">SEPA has no remit to advise on building design and construction, including the structural stability of buildings. Building Standards are set by the Scottish Government and administered by local authorities. </w:t>
      </w:r>
    </w:p>
    <w:p w14:paraId="5A434FB8" w14:textId="67E731AB" w:rsidR="00460073" w:rsidRDefault="00460073">
      <w:pPr>
        <w:pStyle w:val="FootnoteText"/>
      </w:pPr>
    </w:p>
  </w:footnote>
  <w:footnote w:id="3">
    <w:p w14:paraId="19E363CC" w14:textId="15301EAA" w:rsidR="00CB04AC" w:rsidRPr="007D585B" w:rsidRDefault="00CB04AC" w:rsidP="009A2BCC">
      <w:pPr>
        <w:pStyle w:val="FootnoteText"/>
        <w:spacing w:line="360" w:lineRule="auto"/>
        <w:rPr>
          <w:sz w:val="24"/>
          <w:szCs w:val="24"/>
        </w:rPr>
      </w:pPr>
      <w:r w:rsidRPr="0064707F">
        <w:rPr>
          <w:rStyle w:val="FootnoteReference"/>
          <w:sz w:val="24"/>
          <w:szCs w:val="24"/>
        </w:rPr>
        <w:footnoteRef/>
      </w:r>
      <w:r w:rsidRPr="0064707F">
        <w:rPr>
          <w:sz w:val="24"/>
          <w:szCs w:val="24"/>
        </w:rPr>
        <w:t xml:space="preserve"> Note </w:t>
      </w:r>
      <w:r w:rsidRPr="007D585B">
        <w:rPr>
          <w:sz w:val="24"/>
          <w:szCs w:val="24"/>
        </w:rPr>
        <w:t xml:space="preserve">that the </w:t>
      </w:r>
      <w:hyperlink r:id="rId1" w:history="1">
        <w:r w:rsidRPr="007D585B">
          <w:rPr>
            <w:rStyle w:val="Hyperlink"/>
            <w:sz w:val="24"/>
            <w:szCs w:val="24"/>
          </w:rPr>
          <w:t>NPF4 definition of Essential Infrastructure</w:t>
        </w:r>
      </w:hyperlink>
      <w:r w:rsidRPr="007D585B">
        <w:rPr>
          <w:sz w:val="24"/>
          <w:szCs w:val="24"/>
        </w:rPr>
        <w:t xml:space="preserve"> applies to other policies in addition to Policy 22. </w:t>
      </w:r>
    </w:p>
  </w:footnote>
  <w:footnote w:id="4">
    <w:p w14:paraId="43783DC9" w14:textId="38B06D5D" w:rsidR="00CB04AC" w:rsidRPr="0064707F" w:rsidRDefault="00CB04AC" w:rsidP="009A2BCC">
      <w:pPr>
        <w:pStyle w:val="FootnoteText"/>
        <w:spacing w:line="360" w:lineRule="auto"/>
        <w:rPr>
          <w:sz w:val="24"/>
          <w:szCs w:val="24"/>
        </w:rPr>
      </w:pPr>
      <w:r w:rsidRPr="007D585B">
        <w:rPr>
          <w:rStyle w:val="FootnoteReference"/>
          <w:sz w:val="24"/>
          <w:szCs w:val="24"/>
        </w:rPr>
        <w:footnoteRef/>
      </w:r>
      <w:r w:rsidRPr="007D585B">
        <w:rPr>
          <w:sz w:val="24"/>
          <w:szCs w:val="24"/>
        </w:rPr>
        <w:t xml:space="preserve"> </w:t>
      </w:r>
      <w:hyperlink r:id="rId2" w:history="1">
        <w:r w:rsidRPr="007D585B">
          <w:rPr>
            <w:rStyle w:val="Hyperlink"/>
            <w:sz w:val="24"/>
            <w:szCs w:val="24"/>
          </w:rPr>
          <w:t>NPF4 Policy 11</w:t>
        </w:r>
      </w:hyperlink>
      <w:r w:rsidRPr="007D585B">
        <w:rPr>
          <w:sz w:val="24"/>
          <w:szCs w:val="24"/>
        </w:rPr>
        <w:t xml:space="preserve"> identifies development included within renewable, low-carbon and zero emission technologies</w:t>
      </w:r>
      <w:r w:rsidR="00A26542" w:rsidRPr="007D585B">
        <w:rPr>
          <w:sz w:val="24"/>
          <w:szCs w:val="24"/>
        </w:rPr>
        <w:t xml:space="preserve">: </w:t>
      </w:r>
      <w:r w:rsidR="00B460E8" w:rsidRPr="007D585B">
        <w:rPr>
          <w:sz w:val="24"/>
          <w:szCs w:val="24"/>
        </w:rPr>
        <w:t>wind farms including repowering, extending, expanding and extending the life of existing wind farms</w:t>
      </w:r>
      <w:r w:rsidR="00D566AD" w:rsidRPr="007D585B">
        <w:rPr>
          <w:sz w:val="24"/>
          <w:szCs w:val="24"/>
        </w:rPr>
        <w:t xml:space="preserve">; </w:t>
      </w:r>
      <w:r w:rsidR="00B460E8" w:rsidRPr="007D585B">
        <w:rPr>
          <w:sz w:val="24"/>
          <w:szCs w:val="24"/>
        </w:rPr>
        <w:t>enabling works, such as</w:t>
      </w:r>
      <w:r w:rsidR="00B460E8" w:rsidRPr="0064707F">
        <w:rPr>
          <w:sz w:val="24"/>
          <w:szCs w:val="24"/>
        </w:rPr>
        <w:t xml:space="preserve"> grid transmission and distribution infrastructure; energy storage, such as battery storage and pumped storage hydro; small scale renewable energy generation technology; solar arrays; proposals associated with negative emissions technologies and carbon capture; and proposals including co-location of these technologies</w:t>
      </w:r>
      <w:r w:rsidR="00D566AD" w:rsidRPr="0064707F">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1226" w14:textId="1AA9D1A6" w:rsidR="00D859CC" w:rsidRDefault="00D859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CE28D" w14:textId="7FDC86C5" w:rsidR="00AC290C" w:rsidRPr="00917BB1" w:rsidRDefault="00AC290C" w:rsidP="008D113C">
    <w:pPr>
      <w:pStyle w:val="BodyText1"/>
      <w:spacing w:line="240" w:lineRule="auto"/>
      <w:jc w:val="right"/>
      <w:rPr>
        <w:color w:val="6E7571" w:themeColor="text2"/>
      </w:rPr>
    </w:pPr>
    <w:r>
      <w:rPr>
        <w:noProof/>
        <w:color w:val="6E7571" w:themeColor="text2"/>
      </w:rPr>
      <mc:AlternateContent>
        <mc:Choice Requires="wps">
          <w:drawing>
            <wp:anchor distT="0" distB="0" distL="114300" distR="114300" simplePos="0" relativeHeight="251658251" behindDoc="0" locked="0" layoutInCell="0" allowOverlap="1" wp14:anchorId="2B4F3CE3" wp14:editId="19DF8FC8">
              <wp:simplePos x="0" y="0"/>
              <wp:positionH relativeFrom="page">
                <wp:posOffset>0</wp:posOffset>
              </wp:positionH>
              <wp:positionV relativeFrom="page">
                <wp:posOffset>190500</wp:posOffset>
              </wp:positionV>
              <wp:extent cx="7556500" cy="273050"/>
              <wp:effectExtent l="0" t="0" r="0" b="12700"/>
              <wp:wrapNone/>
              <wp:docPr id="1821588999" name="Text Box 18215889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1DD220" w14:textId="77777777" w:rsidR="00AC290C" w:rsidRPr="002369CA" w:rsidRDefault="00AC290C" w:rsidP="00D566AD">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B4F3CE3" id="_x0000_t202" coordsize="21600,21600" o:spt="202" path="m,l,21600r21600,l21600,xe">
              <v:stroke joinstyle="miter"/>
              <v:path gradientshapeok="t" o:connecttype="rect"/>
            </v:shapetype>
            <v:shape id="Text Box 1821588999" o:spid="_x0000_s1028" type="#_x0000_t202" alt="&quot;&quot;" style="position:absolute;left:0;text-align:left;margin-left:0;margin-top:15pt;width:595pt;height:21.5pt;z-index:25165825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textbox inset=",0,,0">
                <w:txbxContent>
                  <w:p w14:paraId="311DD220" w14:textId="77777777" w:rsidR="00AC290C" w:rsidRPr="002369CA" w:rsidRDefault="00AC290C" w:rsidP="00D566AD">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r>
      <w:rPr>
        <w:color w:val="6E7571" w:themeColor="text2"/>
      </w:rPr>
      <w:t xml:space="preserve">Flood Risk and Land Use Vulnerability Guidance </w:t>
    </w:r>
  </w:p>
  <w:p w14:paraId="7B5BE7F4" w14:textId="77777777" w:rsidR="00AC290C" w:rsidRDefault="00AC290C" w:rsidP="008D113C">
    <w:pPr>
      <w:pStyle w:val="BodyText1"/>
      <w:jc w:val="right"/>
    </w:pPr>
    <w:r>
      <w:rPr>
        <w:noProof/>
      </w:rPr>
      <mc:AlternateContent>
        <mc:Choice Requires="wps">
          <w:drawing>
            <wp:anchor distT="0" distB="0" distL="114300" distR="114300" simplePos="0" relativeHeight="251658240" behindDoc="0" locked="0" layoutInCell="1" allowOverlap="1" wp14:anchorId="309BB1CA" wp14:editId="60006CD2">
              <wp:simplePos x="0" y="0"/>
              <wp:positionH relativeFrom="column">
                <wp:posOffset>23826</wp:posOffset>
              </wp:positionH>
              <wp:positionV relativeFrom="paragraph">
                <wp:posOffset>89176</wp:posOffset>
              </wp:positionV>
              <wp:extent cx="6467061" cy="0"/>
              <wp:effectExtent l="0" t="0" r="10160" b="12700"/>
              <wp:wrapNone/>
              <wp:docPr id="416324996" name="Straight Connector 4163249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noFill/>
                      <a:ln w="6350" cap="flat" cmpd="sng" algn="ctr">
                        <a:solidFill>
                          <a:srgbClr val="016574"/>
                        </a:solidFill>
                        <a:prstDash val="solid"/>
                        <a:miter lim="800000"/>
                      </a:ln>
                      <a:effectLst/>
                    </wps:spPr>
                    <wps:bodyPr/>
                  </wps:wsp>
                </a:graphicData>
              </a:graphic>
            </wp:anchor>
          </w:drawing>
        </mc:Choice>
        <mc:Fallback>
          <w:pict>
            <v:line w14:anchorId="33D2A55C" id="Straight Connector 416324996"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" strokecolor="#016574"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7BF8E" w14:textId="2F2ADE95" w:rsidR="00AC290C" w:rsidRDefault="00AC290C">
    <w:pPr>
      <w:pStyle w:val="Header"/>
    </w:pPr>
    <w:r>
      <w:rPr>
        <w:noProof/>
      </w:rPr>
      <mc:AlternateContent>
        <mc:Choice Requires="wps">
          <w:drawing>
            <wp:anchor distT="0" distB="0" distL="114300" distR="114300" simplePos="0" relativeHeight="251658248" behindDoc="0" locked="0" layoutInCell="0" allowOverlap="1" wp14:anchorId="715C0C77" wp14:editId="73571AA7">
              <wp:simplePos x="0" y="0"/>
              <wp:positionH relativeFrom="page">
                <wp:posOffset>0</wp:posOffset>
              </wp:positionH>
              <wp:positionV relativeFrom="page">
                <wp:posOffset>190500</wp:posOffset>
              </wp:positionV>
              <wp:extent cx="7556500" cy="273050"/>
              <wp:effectExtent l="0" t="0" r="0" b="12700"/>
              <wp:wrapNone/>
              <wp:docPr id="680382372" name="Text Box 6803823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57131A" w14:textId="77777777" w:rsidR="00AC290C" w:rsidRPr="002369CA" w:rsidRDefault="00AC290C" w:rsidP="00D566AD">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15C0C77" id="_x0000_t202" coordsize="21600,21600" o:spt="202" path="m,l,21600r21600,l21600,xe">
              <v:stroke joinstyle="miter"/>
              <v:path gradientshapeok="t" o:connecttype="rect"/>
            </v:shapetype>
            <v:shape id="Text Box 680382372" o:spid="_x0000_s1030" type="#_x0000_t202" alt="&quot;&quot;" style="position:absolute;margin-left:0;margin-top:15pt;width:595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0B57131A" w14:textId="77777777" w:rsidR="00AC290C" w:rsidRPr="002369CA" w:rsidRDefault="00AC290C" w:rsidP="00D566AD">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C7D5" w14:textId="7842694E" w:rsidR="006551A9" w:rsidRDefault="006551A9">
    <w:pPr>
      <w:pStyle w:val="Header"/>
    </w:pPr>
    <w:r>
      <w:rPr>
        <w:noProof/>
      </w:rPr>
      <mc:AlternateContent>
        <mc:Choice Requires="wps">
          <w:drawing>
            <wp:anchor distT="0" distB="0" distL="0" distR="0" simplePos="0" relativeHeight="251658243" behindDoc="0" locked="0" layoutInCell="1" allowOverlap="1" wp14:anchorId="27EABC6E" wp14:editId="734B992E">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DB5C7E"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EABC6E" id="_x0000_t202" coordsize="21600,21600" o:spt="202" path="m,l,21600r21600,l21600,xe">
              <v:stroke joinstyle="miter"/>
              <v:path gradientshapeok="t" o:connecttype="rect"/>
            </v:shapetype>
            <v:shape id="Text Box 6" o:spid="_x0000_s1032"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6DB5C7E"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59B2B" w14:textId="26CECF79" w:rsidR="008D113C" w:rsidRPr="00917BB1" w:rsidRDefault="006551A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36407605" wp14:editId="61FC5E7A">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65D7BD"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407605" id="_x0000_t202" coordsize="21600,21600" o:spt="202" path="m,l,21600r21600,l21600,xe">
              <v:stroke joinstyle="miter"/>
              <v:path gradientshapeok="t" o:connecttype="rect"/>
            </v:shapetype>
            <v:shape id="Text Box 8" o:spid="_x0000_s1033"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0865D7BD"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v:textbox>
              <w10:wrap anchorx="page" anchory="page"/>
            </v:shape>
          </w:pict>
        </mc:Fallback>
      </mc:AlternateContent>
    </w:r>
    <w:r w:rsidR="00A9349C" w:rsidRPr="00917BB1">
      <w:rPr>
        <w:color w:val="6E7571" w:themeColor="text2"/>
      </w:rPr>
      <w:t>&lt;Report title here&gt;</w:t>
    </w:r>
  </w:p>
  <w:p w14:paraId="077E9FC9" w14:textId="77777777" w:rsidR="008D113C" w:rsidRDefault="007D441B" w:rsidP="008D113C">
    <w:pPr>
      <w:pStyle w:val="BodyText1"/>
      <w:jc w:val="right"/>
    </w:pPr>
    <w:r>
      <w:rPr>
        <w:noProof/>
      </w:rPr>
      <mc:AlternateContent>
        <mc:Choice Requires="wps">
          <w:drawing>
            <wp:anchor distT="0" distB="0" distL="114300" distR="114300" simplePos="0" relativeHeight="251658241" behindDoc="0" locked="0" layoutInCell="1" allowOverlap="1" wp14:anchorId="29C16529" wp14:editId="7B528C8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87BD1B" id="Straight Connector 7" o:spid="_x0000_s1026" alt="&quot;&quot;" style="position:absolute;flip:x;z-index:251658241;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96B7" w14:textId="4A2B3FFB" w:rsidR="006551A9" w:rsidRDefault="006551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412336"/>
    <w:multiLevelType w:val="hybridMultilevel"/>
    <w:tmpl w:val="2200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9569A7"/>
    <w:multiLevelType w:val="hybridMultilevel"/>
    <w:tmpl w:val="09BCE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BA3B0B"/>
    <w:multiLevelType w:val="hybridMultilevel"/>
    <w:tmpl w:val="3CE8F1A6"/>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3" w15:restartNumberingAfterBreak="0">
    <w:nsid w:val="1A9341A1"/>
    <w:multiLevelType w:val="hybridMultilevel"/>
    <w:tmpl w:val="FBAA2F58"/>
    <w:lvl w:ilvl="0" w:tplc="A718E33A">
      <w:start w:val="1"/>
      <w:numFmt w:val="bullet"/>
      <w:lvlText w:val=""/>
      <w:lvlJc w:val="left"/>
      <w:pPr>
        <w:ind w:left="1440" w:hanging="360"/>
      </w:pPr>
      <w:rPr>
        <w:rFonts w:ascii="Symbol" w:hAnsi="Symbol"/>
      </w:rPr>
    </w:lvl>
    <w:lvl w:ilvl="1" w:tplc="A3766C8A">
      <w:start w:val="1"/>
      <w:numFmt w:val="bullet"/>
      <w:lvlText w:val=""/>
      <w:lvlJc w:val="left"/>
      <w:pPr>
        <w:ind w:left="1440" w:hanging="360"/>
      </w:pPr>
      <w:rPr>
        <w:rFonts w:ascii="Symbol" w:hAnsi="Symbol"/>
      </w:rPr>
    </w:lvl>
    <w:lvl w:ilvl="2" w:tplc="7C2648B6">
      <w:start w:val="1"/>
      <w:numFmt w:val="bullet"/>
      <w:lvlText w:val=""/>
      <w:lvlJc w:val="left"/>
      <w:pPr>
        <w:ind w:left="1440" w:hanging="360"/>
      </w:pPr>
      <w:rPr>
        <w:rFonts w:ascii="Symbol" w:hAnsi="Symbol"/>
      </w:rPr>
    </w:lvl>
    <w:lvl w:ilvl="3" w:tplc="DD6286C0">
      <w:start w:val="1"/>
      <w:numFmt w:val="bullet"/>
      <w:lvlText w:val=""/>
      <w:lvlJc w:val="left"/>
      <w:pPr>
        <w:ind w:left="1440" w:hanging="360"/>
      </w:pPr>
      <w:rPr>
        <w:rFonts w:ascii="Symbol" w:hAnsi="Symbol"/>
      </w:rPr>
    </w:lvl>
    <w:lvl w:ilvl="4" w:tplc="DBAAC70C">
      <w:start w:val="1"/>
      <w:numFmt w:val="bullet"/>
      <w:lvlText w:val=""/>
      <w:lvlJc w:val="left"/>
      <w:pPr>
        <w:ind w:left="1440" w:hanging="360"/>
      </w:pPr>
      <w:rPr>
        <w:rFonts w:ascii="Symbol" w:hAnsi="Symbol"/>
      </w:rPr>
    </w:lvl>
    <w:lvl w:ilvl="5" w:tplc="B5422FA8">
      <w:start w:val="1"/>
      <w:numFmt w:val="bullet"/>
      <w:lvlText w:val=""/>
      <w:lvlJc w:val="left"/>
      <w:pPr>
        <w:ind w:left="1440" w:hanging="360"/>
      </w:pPr>
      <w:rPr>
        <w:rFonts w:ascii="Symbol" w:hAnsi="Symbol"/>
      </w:rPr>
    </w:lvl>
    <w:lvl w:ilvl="6" w:tplc="A6F4628C">
      <w:start w:val="1"/>
      <w:numFmt w:val="bullet"/>
      <w:lvlText w:val=""/>
      <w:lvlJc w:val="left"/>
      <w:pPr>
        <w:ind w:left="1440" w:hanging="360"/>
      </w:pPr>
      <w:rPr>
        <w:rFonts w:ascii="Symbol" w:hAnsi="Symbol"/>
      </w:rPr>
    </w:lvl>
    <w:lvl w:ilvl="7" w:tplc="33E4300A">
      <w:start w:val="1"/>
      <w:numFmt w:val="bullet"/>
      <w:lvlText w:val=""/>
      <w:lvlJc w:val="left"/>
      <w:pPr>
        <w:ind w:left="1440" w:hanging="360"/>
      </w:pPr>
      <w:rPr>
        <w:rFonts w:ascii="Symbol" w:hAnsi="Symbol"/>
      </w:rPr>
    </w:lvl>
    <w:lvl w:ilvl="8" w:tplc="7DC463A0">
      <w:start w:val="1"/>
      <w:numFmt w:val="bullet"/>
      <w:lvlText w:val=""/>
      <w:lvlJc w:val="left"/>
      <w:pPr>
        <w:ind w:left="1440" w:hanging="360"/>
      </w:pPr>
      <w:rPr>
        <w:rFonts w:ascii="Symbol" w:hAnsi="Symbol"/>
      </w:rPr>
    </w:lvl>
  </w:abstractNum>
  <w:abstractNum w:abstractNumId="14" w15:restartNumberingAfterBreak="0">
    <w:nsid w:val="39BA612F"/>
    <w:multiLevelType w:val="hybridMultilevel"/>
    <w:tmpl w:val="F08A9082"/>
    <w:lvl w:ilvl="0" w:tplc="704ED8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F85CFB"/>
    <w:multiLevelType w:val="hybridMultilevel"/>
    <w:tmpl w:val="24901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9A2EA1"/>
    <w:multiLevelType w:val="hybridMultilevel"/>
    <w:tmpl w:val="5204E0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DB17F2"/>
    <w:multiLevelType w:val="hybridMultilevel"/>
    <w:tmpl w:val="0FE65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FF776D9"/>
    <w:multiLevelType w:val="hybridMultilevel"/>
    <w:tmpl w:val="D24C2666"/>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649557649">
    <w:abstractNumId w:val="16"/>
  </w:num>
  <w:num w:numId="12" w16cid:durableId="1970814175">
    <w:abstractNumId w:val="10"/>
  </w:num>
  <w:num w:numId="13" w16cid:durableId="1547837353">
    <w:abstractNumId w:val="15"/>
  </w:num>
  <w:num w:numId="14" w16cid:durableId="817500248">
    <w:abstractNumId w:val="17"/>
  </w:num>
  <w:num w:numId="15" w16cid:durableId="839395201">
    <w:abstractNumId w:val="14"/>
  </w:num>
  <w:num w:numId="16" w16cid:durableId="1194803504">
    <w:abstractNumId w:val="11"/>
  </w:num>
  <w:num w:numId="17" w16cid:durableId="1282229762">
    <w:abstractNumId w:val="12"/>
  </w:num>
  <w:num w:numId="18" w16cid:durableId="181214198">
    <w:abstractNumId w:val="18"/>
  </w:num>
  <w:num w:numId="19" w16cid:durableId="1622833537">
    <w:abstractNumId w:val="19"/>
  </w:num>
  <w:num w:numId="20" w16cid:durableId="6948435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558"/>
    <w:rsid w:val="00003141"/>
    <w:rsid w:val="00010942"/>
    <w:rsid w:val="0001568E"/>
    <w:rsid w:val="0002273B"/>
    <w:rsid w:val="0002579A"/>
    <w:rsid w:val="000262D8"/>
    <w:rsid w:val="00031077"/>
    <w:rsid w:val="00032829"/>
    <w:rsid w:val="00040561"/>
    <w:rsid w:val="00041AAF"/>
    <w:rsid w:val="000467EE"/>
    <w:rsid w:val="00066D28"/>
    <w:rsid w:val="000702CD"/>
    <w:rsid w:val="00070937"/>
    <w:rsid w:val="00072A3F"/>
    <w:rsid w:val="00090B7A"/>
    <w:rsid w:val="00091CB2"/>
    <w:rsid w:val="0009297A"/>
    <w:rsid w:val="000948D5"/>
    <w:rsid w:val="000A184C"/>
    <w:rsid w:val="000A3E24"/>
    <w:rsid w:val="000B2BA5"/>
    <w:rsid w:val="000B7023"/>
    <w:rsid w:val="000B7559"/>
    <w:rsid w:val="000D1964"/>
    <w:rsid w:val="000E0D15"/>
    <w:rsid w:val="000E266B"/>
    <w:rsid w:val="000E560D"/>
    <w:rsid w:val="000F20A4"/>
    <w:rsid w:val="001002DA"/>
    <w:rsid w:val="00105F31"/>
    <w:rsid w:val="00107162"/>
    <w:rsid w:val="00117B10"/>
    <w:rsid w:val="00124374"/>
    <w:rsid w:val="001334E8"/>
    <w:rsid w:val="00136486"/>
    <w:rsid w:val="00140B16"/>
    <w:rsid w:val="0014372F"/>
    <w:rsid w:val="00146FA5"/>
    <w:rsid w:val="001521BC"/>
    <w:rsid w:val="00156D31"/>
    <w:rsid w:val="00156E80"/>
    <w:rsid w:val="00161430"/>
    <w:rsid w:val="00162F0E"/>
    <w:rsid w:val="00172E50"/>
    <w:rsid w:val="0017437F"/>
    <w:rsid w:val="001928D2"/>
    <w:rsid w:val="001A1B48"/>
    <w:rsid w:val="001B537F"/>
    <w:rsid w:val="001B5DBD"/>
    <w:rsid w:val="001B6A18"/>
    <w:rsid w:val="001D1346"/>
    <w:rsid w:val="001D254E"/>
    <w:rsid w:val="001E1A31"/>
    <w:rsid w:val="001E26D5"/>
    <w:rsid w:val="001E4265"/>
    <w:rsid w:val="001F2799"/>
    <w:rsid w:val="001F42F9"/>
    <w:rsid w:val="001F4965"/>
    <w:rsid w:val="00201A57"/>
    <w:rsid w:val="002034C3"/>
    <w:rsid w:val="00205565"/>
    <w:rsid w:val="00210899"/>
    <w:rsid w:val="00214594"/>
    <w:rsid w:val="002227AE"/>
    <w:rsid w:val="00232E76"/>
    <w:rsid w:val="00236552"/>
    <w:rsid w:val="0024333F"/>
    <w:rsid w:val="002619B2"/>
    <w:rsid w:val="002670F3"/>
    <w:rsid w:val="002731E1"/>
    <w:rsid w:val="00281BB1"/>
    <w:rsid w:val="00290B1F"/>
    <w:rsid w:val="002A0D9E"/>
    <w:rsid w:val="002B4F4D"/>
    <w:rsid w:val="002C7A4E"/>
    <w:rsid w:val="002D2671"/>
    <w:rsid w:val="002D41F7"/>
    <w:rsid w:val="002E4740"/>
    <w:rsid w:val="002E7BD3"/>
    <w:rsid w:val="002F6689"/>
    <w:rsid w:val="002F6EAC"/>
    <w:rsid w:val="0030096D"/>
    <w:rsid w:val="00303D31"/>
    <w:rsid w:val="00304529"/>
    <w:rsid w:val="003109B2"/>
    <w:rsid w:val="0031211A"/>
    <w:rsid w:val="00312BBF"/>
    <w:rsid w:val="00312FA6"/>
    <w:rsid w:val="00317618"/>
    <w:rsid w:val="0033452D"/>
    <w:rsid w:val="00344F20"/>
    <w:rsid w:val="00350CC6"/>
    <w:rsid w:val="0037456C"/>
    <w:rsid w:val="00375558"/>
    <w:rsid w:val="003871AA"/>
    <w:rsid w:val="00396385"/>
    <w:rsid w:val="003A5D2C"/>
    <w:rsid w:val="003C58B6"/>
    <w:rsid w:val="003C6816"/>
    <w:rsid w:val="003D2994"/>
    <w:rsid w:val="003E6EA2"/>
    <w:rsid w:val="003F5251"/>
    <w:rsid w:val="003F5384"/>
    <w:rsid w:val="00400373"/>
    <w:rsid w:val="00405788"/>
    <w:rsid w:val="004073BC"/>
    <w:rsid w:val="0040754F"/>
    <w:rsid w:val="00407FB6"/>
    <w:rsid w:val="00412AEA"/>
    <w:rsid w:val="0041513A"/>
    <w:rsid w:val="00444AA1"/>
    <w:rsid w:val="00445D31"/>
    <w:rsid w:val="00460073"/>
    <w:rsid w:val="0046125B"/>
    <w:rsid w:val="004638B8"/>
    <w:rsid w:val="004656D4"/>
    <w:rsid w:val="0046573D"/>
    <w:rsid w:val="00466EC2"/>
    <w:rsid w:val="004778D0"/>
    <w:rsid w:val="00484038"/>
    <w:rsid w:val="00494270"/>
    <w:rsid w:val="0049456A"/>
    <w:rsid w:val="004968D5"/>
    <w:rsid w:val="004A3845"/>
    <w:rsid w:val="004A3D75"/>
    <w:rsid w:val="004A5FBB"/>
    <w:rsid w:val="004A63F3"/>
    <w:rsid w:val="004D4213"/>
    <w:rsid w:val="004E1F3A"/>
    <w:rsid w:val="004E52FC"/>
    <w:rsid w:val="004E59DF"/>
    <w:rsid w:val="0050550C"/>
    <w:rsid w:val="00512FB5"/>
    <w:rsid w:val="005158B1"/>
    <w:rsid w:val="00517F9C"/>
    <w:rsid w:val="00525D25"/>
    <w:rsid w:val="005338DA"/>
    <w:rsid w:val="005475F3"/>
    <w:rsid w:val="00551989"/>
    <w:rsid w:val="00555E7B"/>
    <w:rsid w:val="00556217"/>
    <w:rsid w:val="00557495"/>
    <w:rsid w:val="00563436"/>
    <w:rsid w:val="00567279"/>
    <w:rsid w:val="005705B6"/>
    <w:rsid w:val="005723E9"/>
    <w:rsid w:val="0059269A"/>
    <w:rsid w:val="005A2DF0"/>
    <w:rsid w:val="005A355E"/>
    <w:rsid w:val="005A3758"/>
    <w:rsid w:val="005C191D"/>
    <w:rsid w:val="005C29B7"/>
    <w:rsid w:val="005C7097"/>
    <w:rsid w:val="005D1213"/>
    <w:rsid w:val="005D6E15"/>
    <w:rsid w:val="005F0277"/>
    <w:rsid w:val="005F7B6C"/>
    <w:rsid w:val="00603553"/>
    <w:rsid w:val="006101BA"/>
    <w:rsid w:val="006243FF"/>
    <w:rsid w:val="00625FCC"/>
    <w:rsid w:val="00634D6F"/>
    <w:rsid w:val="006412A8"/>
    <w:rsid w:val="006417F3"/>
    <w:rsid w:val="0064707F"/>
    <w:rsid w:val="006477E5"/>
    <w:rsid w:val="006551A9"/>
    <w:rsid w:val="00660C79"/>
    <w:rsid w:val="00662129"/>
    <w:rsid w:val="00684BC7"/>
    <w:rsid w:val="006951DF"/>
    <w:rsid w:val="006B102C"/>
    <w:rsid w:val="006B323B"/>
    <w:rsid w:val="006B6A77"/>
    <w:rsid w:val="006C0162"/>
    <w:rsid w:val="006D16CE"/>
    <w:rsid w:val="006D622A"/>
    <w:rsid w:val="006E5C90"/>
    <w:rsid w:val="006F345E"/>
    <w:rsid w:val="006F4490"/>
    <w:rsid w:val="006F47FC"/>
    <w:rsid w:val="006F7045"/>
    <w:rsid w:val="0070317F"/>
    <w:rsid w:val="0070390F"/>
    <w:rsid w:val="00703C34"/>
    <w:rsid w:val="007049AC"/>
    <w:rsid w:val="00706308"/>
    <w:rsid w:val="00710BF8"/>
    <w:rsid w:val="00730178"/>
    <w:rsid w:val="007420A2"/>
    <w:rsid w:val="00746A8B"/>
    <w:rsid w:val="00746AA9"/>
    <w:rsid w:val="00756494"/>
    <w:rsid w:val="00761D8A"/>
    <w:rsid w:val="00767EF0"/>
    <w:rsid w:val="0077660D"/>
    <w:rsid w:val="00777AAE"/>
    <w:rsid w:val="00781A41"/>
    <w:rsid w:val="00783CD9"/>
    <w:rsid w:val="007A509C"/>
    <w:rsid w:val="007B5A6A"/>
    <w:rsid w:val="007C3F12"/>
    <w:rsid w:val="007D278B"/>
    <w:rsid w:val="007D441B"/>
    <w:rsid w:val="007D585B"/>
    <w:rsid w:val="007E540D"/>
    <w:rsid w:val="007E78BB"/>
    <w:rsid w:val="00801105"/>
    <w:rsid w:val="008058A6"/>
    <w:rsid w:val="0081037C"/>
    <w:rsid w:val="008125E5"/>
    <w:rsid w:val="00820340"/>
    <w:rsid w:val="00836B83"/>
    <w:rsid w:val="008563D9"/>
    <w:rsid w:val="0085796C"/>
    <w:rsid w:val="00861B46"/>
    <w:rsid w:val="00861BFD"/>
    <w:rsid w:val="00870602"/>
    <w:rsid w:val="0087357F"/>
    <w:rsid w:val="00880D2B"/>
    <w:rsid w:val="008848D6"/>
    <w:rsid w:val="008A05B7"/>
    <w:rsid w:val="008B3A98"/>
    <w:rsid w:val="008C0BD9"/>
    <w:rsid w:val="008C1A73"/>
    <w:rsid w:val="008C22C4"/>
    <w:rsid w:val="008C443C"/>
    <w:rsid w:val="008D113C"/>
    <w:rsid w:val="008D376F"/>
    <w:rsid w:val="008D52BD"/>
    <w:rsid w:val="00914CA6"/>
    <w:rsid w:val="00917BB1"/>
    <w:rsid w:val="00924AFE"/>
    <w:rsid w:val="009571C8"/>
    <w:rsid w:val="00957A94"/>
    <w:rsid w:val="009667F7"/>
    <w:rsid w:val="00966B69"/>
    <w:rsid w:val="00975D21"/>
    <w:rsid w:val="00976306"/>
    <w:rsid w:val="00980531"/>
    <w:rsid w:val="0099454C"/>
    <w:rsid w:val="009A17ED"/>
    <w:rsid w:val="009A240D"/>
    <w:rsid w:val="009A2BCC"/>
    <w:rsid w:val="009A6EF2"/>
    <w:rsid w:val="009C13D7"/>
    <w:rsid w:val="009C2057"/>
    <w:rsid w:val="009D20E7"/>
    <w:rsid w:val="009D32C7"/>
    <w:rsid w:val="009E3EF8"/>
    <w:rsid w:val="009E5D98"/>
    <w:rsid w:val="009F35AD"/>
    <w:rsid w:val="009F5236"/>
    <w:rsid w:val="00A05931"/>
    <w:rsid w:val="00A06F0E"/>
    <w:rsid w:val="00A13356"/>
    <w:rsid w:val="00A21EB1"/>
    <w:rsid w:val="00A26542"/>
    <w:rsid w:val="00A46857"/>
    <w:rsid w:val="00A55BB8"/>
    <w:rsid w:val="00A60CA9"/>
    <w:rsid w:val="00A6408A"/>
    <w:rsid w:val="00A65B97"/>
    <w:rsid w:val="00A814C4"/>
    <w:rsid w:val="00A83DE3"/>
    <w:rsid w:val="00A91A38"/>
    <w:rsid w:val="00A92F10"/>
    <w:rsid w:val="00A9349C"/>
    <w:rsid w:val="00AA063B"/>
    <w:rsid w:val="00AA6275"/>
    <w:rsid w:val="00AB598E"/>
    <w:rsid w:val="00AC279E"/>
    <w:rsid w:val="00AC290C"/>
    <w:rsid w:val="00AC4B06"/>
    <w:rsid w:val="00AC788D"/>
    <w:rsid w:val="00AC7CF0"/>
    <w:rsid w:val="00AD2B6E"/>
    <w:rsid w:val="00AD58A1"/>
    <w:rsid w:val="00AD5ED4"/>
    <w:rsid w:val="00AE0583"/>
    <w:rsid w:val="00AE068C"/>
    <w:rsid w:val="00AE7144"/>
    <w:rsid w:val="00AF7B13"/>
    <w:rsid w:val="00B06BB7"/>
    <w:rsid w:val="00B20ACD"/>
    <w:rsid w:val="00B340D0"/>
    <w:rsid w:val="00B34459"/>
    <w:rsid w:val="00B4415E"/>
    <w:rsid w:val="00B44C5D"/>
    <w:rsid w:val="00B460E8"/>
    <w:rsid w:val="00B463D7"/>
    <w:rsid w:val="00B46E48"/>
    <w:rsid w:val="00B47777"/>
    <w:rsid w:val="00B54CF4"/>
    <w:rsid w:val="00B55158"/>
    <w:rsid w:val="00B555A4"/>
    <w:rsid w:val="00B65913"/>
    <w:rsid w:val="00B6775E"/>
    <w:rsid w:val="00B84B98"/>
    <w:rsid w:val="00B86251"/>
    <w:rsid w:val="00B92B93"/>
    <w:rsid w:val="00B93956"/>
    <w:rsid w:val="00BA0D0D"/>
    <w:rsid w:val="00BA17F4"/>
    <w:rsid w:val="00BA3358"/>
    <w:rsid w:val="00BB11B3"/>
    <w:rsid w:val="00BB38B9"/>
    <w:rsid w:val="00BB4D0B"/>
    <w:rsid w:val="00BC2402"/>
    <w:rsid w:val="00BC66D3"/>
    <w:rsid w:val="00BD5373"/>
    <w:rsid w:val="00BD69E4"/>
    <w:rsid w:val="00BD720F"/>
    <w:rsid w:val="00BE5AA6"/>
    <w:rsid w:val="00C04818"/>
    <w:rsid w:val="00C1155F"/>
    <w:rsid w:val="00C12AC9"/>
    <w:rsid w:val="00C14FE2"/>
    <w:rsid w:val="00C246E2"/>
    <w:rsid w:val="00C315B5"/>
    <w:rsid w:val="00C37673"/>
    <w:rsid w:val="00C40FC4"/>
    <w:rsid w:val="00C436D9"/>
    <w:rsid w:val="00C54928"/>
    <w:rsid w:val="00C569B9"/>
    <w:rsid w:val="00C74247"/>
    <w:rsid w:val="00C76A5A"/>
    <w:rsid w:val="00C90292"/>
    <w:rsid w:val="00CA0BC6"/>
    <w:rsid w:val="00CA6B62"/>
    <w:rsid w:val="00CA7AFD"/>
    <w:rsid w:val="00CB04AC"/>
    <w:rsid w:val="00CB1C84"/>
    <w:rsid w:val="00CB2A0E"/>
    <w:rsid w:val="00CB4845"/>
    <w:rsid w:val="00CB7823"/>
    <w:rsid w:val="00CC7B4B"/>
    <w:rsid w:val="00CD1315"/>
    <w:rsid w:val="00CD4F26"/>
    <w:rsid w:val="00CD6AC0"/>
    <w:rsid w:val="00CF7EFB"/>
    <w:rsid w:val="00D04C2D"/>
    <w:rsid w:val="00D17B0D"/>
    <w:rsid w:val="00D23AE7"/>
    <w:rsid w:val="00D329B6"/>
    <w:rsid w:val="00D35448"/>
    <w:rsid w:val="00D45E5C"/>
    <w:rsid w:val="00D55438"/>
    <w:rsid w:val="00D566AD"/>
    <w:rsid w:val="00D61687"/>
    <w:rsid w:val="00D65DA9"/>
    <w:rsid w:val="00D71EEF"/>
    <w:rsid w:val="00D73A41"/>
    <w:rsid w:val="00D859CC"/>
    <w:rsid w:val="00DB50C7"/>
    <w:rsid w:val="00DB6F40"/>
    <w:rsid w:val="00DD6F16"/>
    <w:rsid w:val="00DE7EDF"/>
    <w:rsid w:val="00DF10F6"/>
    <w:rsid w:val="00E06CB6"/>
    <w:rsid w:val="00E11A56"/>
    <w:rsid w:val="00E166E9"/>
    <w:rsid w:val="00E275AC"/>
    <w:rsid w:val="00E334EE"/>
    <w:rsid w:val="00E4011E"/>
    <w:rsid w:val="00E51124"/>
    <w:rsid w:val="00E540BC"/>
    <w:rsid w:val="00E5516E"/>
    <w:rsid w:val="00E55237"/>
    <w:rsid w:val="00E57CC8"/>
    <w:rsid w:val="00E67C75"/>
    <w:rsid w:val="00E711E6"/>
    <w:rsid w:val="00E7397A"/>
    <w:rsid w:val="00E7417E"/>
    <w:rsid w:val="00E81EA6"/>
    <w:rsid w:val="00E8271D"/>
    <w:rsid w:val="00E8750F"/>
    <w:rsid w:val="00E952D2"/>
    <w:rsid w:val="00EA2AE5"/>
    <w:rsid w:val="00EA38CA"/>
    <w:rsid w:val="00EA6773"/>
    <w:rsid w:val="00EB0270"/>
    <w:rsid w:val="00EB02C6"/>
    <w:rsid w:val="00EB1926"/>
    <w:rsid w:val="00EB64DF"/>
    <w:rsid w:val="00EC2F50"/>
    <w:rsid w:val="00EC380B"/>
    <w:rsid w:val="00EC5C9E"/>
    <w:rsid w:val="00EC6A73"/>
    <w:rsid w:val="00ED19FE"/>
    <w:rsid w:val="00ED5C68"/>
    <w:rsid w:val="00EE2B50"/>
    <w:rsid w:val="00EF18D0"/>
    <w:rsid w:val="00F07048"/>
    <w:rsid w:val="00F13875"/>
    <w:rsid w:val="00F3274C"/>
    <w:rsid w:val="00F356EF"/>
    <w:rsid w:val="00F35FD3"/>
    <w:rsid w:val="00F37F92"/>
    <w:rsid w:val="00F47286"/>
    <w:rsid w:val="00F556A7"/>
    <w:rsid w:val="00F57B38"/>
    <w:rsid w:val="00F72274"/>
    <w:rsid w:val="00F86068"/>
    <w:rsid w:val="00F90986"/>
    <w:rsid w:val="00F95EF0"/>
    <w:rsid w:val="00F971BB"/>
    <w:rsid w:val="00F97A7B"/>
    <w:rsid w:val="00FE2B23"/>
    <w:rsid w:val="00FF5D5A"/>
    <w:rsid w:val="0B6AD37A"/>
    <w:rsid w:val="10BCAE88"/>
    <w:rsid w:val="140EB58F"/>
    <w:rsid w:val="187F74DA"/>
    <w:rsid w:val="19D57FA3"/>
    <w:rsid w:val="1D394662"/>
    <w:rsid w:val="2589F3EA"/>
    <w:rsid w:val="4C1686F6"/>
    <w:rsid w:val="59C33D97"/>
    <w:rsid w:val="5D05008B"/>
    <w:rsid w:val="5FABC85E"/>
    <w:rsid w:val="6241F5C9"/>
    <w:rsid w:val="73EFA862"/>
    <w:rsid w:val="78B1ABDD"/>
    <w:rsid w:val="7A4D7C3E"/>
    <w:rsid w:val="7CFE9819"/>
    <w:rsid w:val="7D66FC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01FEC"/>
  <w15:chartTrackingRefBased/>
  <w15:docId w15:val="{8EF1BB63-05F6-4E94-B2A2-C93A0C501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0B2BA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17437F"/>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17437F"/>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17437F"/>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0B2BA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17437F"/>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17437F"/>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17437F"/>
    <w:rPr>
      <w:rFonts w:asciiTheme="majorHAnsi" w:eastAsiaTheme="majorEastAsia" w:hAnsiTheme="majorHAnsi" w:cstheme="majorBidi"/>
      <w:b/>
      <w:iCs/>
    </w:rPr>
  </w:style>
  <w:style w:type="paragraph" w:customStyle="1" w:styleId="BodyText1">
    <w:name w:val="Body Text1"/>
    <w:basedOn w:val="Normal"/>
    <w:qFormat/>
    <w:rsid w:val="0017437F"/>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CommentText">
    <w:name w:val="annotation text"/>
    <w:basedOn w:val="Normal"/>
    <w:link w:val="CommentTextChar"/>
    <w:uiPriority w:val="99"/>
    <w:unhideWhenUsed/>
    <w:rsid w:val="00AC290C"/>
    <w:pPr>
      <w:spacing w:line="240" w:lineRule="auto"/>
    </w:pPr>
    <w:rPr>
      <w:sz w:val="20"/>
      <w:szCs w:val="20"/>
    </w:rPr>
  </w:style>
  <w:style w:type="character" w:customStyle="1" w:styleId="CommentTextChar">
    <w:name w:val="Comment Text Char"/>
    <w:basedOn w:val="DefaultParagraphFont"/>
    <w:link w:val="CommentText"/>
    <w:uiPriority w:val="99"/>
    <w:rsid w:val="00AC290C"/>
    <w:rPr>
      <w:rFonts w:eastAsiaTheme="minorEastAsia"/>
      <w:sz w:val="20"/>
      <w:szCs w:val="20"/>
    </w:rPr>
  </w:style>
  <w:style w:type="character" w:styleId="CommentReference">
    <w:name w:val="annotation reference"/>
    <w:basedOn w:val="DefaultParagraphFont"/>
    <w:uiPriority w:val="99"/>
    <w:semiHidden/>
    <w:unhideWhenUsed/>
    <w:rsid w:val="00AC290C"/>
    <w:rPr>
      <w:sz w:val="16"/>
      <w:szCs w:val="16"/>
    </w:rPr>
  </w:style>
  <w:style w:type="table" w:styleId="TableGrid">
    <w:name w:val="Table Grid"/>
    <w:basedOn w:val="TableNormal"/>
    <w:uiPriority w:val="39"/>
    <w:rsid w:val="00AC290C"/>
    <w:rPr>
      <w:rFonts w:eastAsiaTheme="minorEastAsia"/>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C290C"/>
    <w:pPr>
      <w:spacing w:line="240" w:lineRule="auto"/>
    </w:pPr>
    <w:rPr>
      <w:sz w:val="20"/>
      <w:szCs w:val="20"/>
    </w:rPr>
  </w:style>
  <w:style w:type="character" w:customStyle="1" w:styleId="FootnoteTextChar">
    <w:name w:val="Footnote Text Char"/>
    <w:basedOn w:val="DefaultParagraphFont"/>
    <w:link w:val="FootnoteText"/>
    <w:uiPriority w:val="99"/>
    <w:semiHidden/>
    <w:rsid w:val="00AC290C"/>
    <w:rPr>
      <w:rFonts w:eastAsiaTheme="minorEastAsia"/>
      <w:sz w:val="20"/>
      <w:szCs w:val="20"/>
    </w:rPr>
  </w:style>
  <w:style w:type="character" w:styleId="FootnoteReference">
    <w:name w:val="footnote reference"/>
    <w:basedOn w:val="DefaultParagraphFont"/>
    <w:uiPriority w:val="99"/>
    <w:semiHidden/>
    <w:unhideWhenUsed/>
    <w:rsid w:val="00AC290C"/>
    <w:rPr>
      <w:vertAlign w:val="superscript"/>
    </w:rPr>
  </w:style>
  <w:style w:type="paragraph" w:styleId="CommentSubject">
    <w:name w:val="annotation subject"/>
    <w:basedOn w:val="CommentText"/>
    <w:next w:val="CommentText"/>
    <w:link w:val="CommentSubjectChar"/>
    <w:uiPriority w:val="99"/>
    <w:semiHidden/>
    <w:unhideWhenUsed/>
    <w:rsid w:val="00E8750F"/>
    <w:rPr>
      <w:b/>
      <w:bCs/>
    </w:rPr>
  </w:style>
  <w:style w:type="character" w:customStyle="1" w:styleId="CommentSubjectChar">
    <w:name w:val="Comment Subject Char"/>
    <w:basedOn w:val="CommentTextChar"/>
    <w:link w:val="CommentSubject"/>
    <w:uiPriority w:val="99"/>
    <w:semiHidden/>
    <w:rsid w:val="00E8750F"/>
    <w:rPr>
      <w:rFonts w:eastAsiaTheme="minorEastAsia"/>
      <w:b/>
      <w:bCs/>
      <w:sz w:val="20"/>
      <w:szCs w:val="20"/>
    </w:rPr>
  </w:style>
  <w:style w:type="character" w:customStyle="1" w:styleId="cf01">
    <w:name w:val="cf01"/>
    <w:basedOn w:val="DefaultParagraphFont"/>
    <w:rsid w:val="008B3A98"/>
    <w:rPr>
      <w:rFonts w:ascii="Segoe UI" w:hAnsi="Segoe UI" w:cs="Segoe UI" w:hint="default"/>
      <w:sz w:val="18"/>
      <w:szCs w:val="18"/>
    </w:rPr>
  </w:style>
  <w:style w:type="character" w:customStyle="1" w:styleId="normaltextrun">
    <w:name w:val="normaltextrun"/>
    <w:basedOn w:val="DefaultParagraphFont"/>
    <w:rsid w:val="00460073"/>
  </w:style>
  <w:style w:type="paragraph" w:customStyle="1" w:styleId="pf0">
    <w:name w:val="pf0"/>
    <w:basedOn w:val="Normal"/>
    <w:rsid w:val="006F4490"/>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53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laine.fotheringham@sepa.org.uk" TargetMode="External"/><Relationship Id="rId18" Type="http://schemas.openxmlformats.org/officeDocument/2006/relationships/diagramColors" Target="diagrams/colors1.xml"/><Relationship Id="rId26" Type="http://schemas.openxmlformats.org/officeDocument/2006/relationships/hyperlink" Target="https://view.officeapps.live.com/op/view.aspx?src=https%3A%2F%2Fwww.sepa.org.uk%2Fmedia%2Fhbghpr1p%2Fflood-risk-standing-advice.docx&amp;wdOrigin=BROWSELINK" TargetMode="External"/><Relationship Id="rId39" Type="http://schemas.openxmlformats.org/officeDocument/2006/relationships/footer" Target="footer4.xml"/><Relationship Id="rId21" Type="http://schemas.openxmlformats.org/officeDocument/2006/relationships/diagramLayout" Target="diagrams/layout2.xml"/><Relationship Id="rId34" Type="http://schemas.openxmlformats.org/officeDocument/2006/relationships/footer" Target="footer3.xml"/><Relationship Id="rId42" Type="http://schemas.openxmlformats.org/officeDocument/2006/relationships/footer" Target="foot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Layout" Target="diagrams/layout1.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07/relationships/diagramDrawing" Target="diagrams/drawing2.xml"/><Relationship Id="rId32" Type="http://schemas.openxmlformats.org/officeDocument/2006/relationships/footer" Target="footer2.xml"/><Relationship Id="rId37" Type="http://schemas.openxmlformats.org/officeDocument/2006/relationships/header" Target="header4.xml"/><Relationship Id="rId40" Type="http://schemas.openxmlformats.org/officeDocument/2006/relationships/footer" Target="footer5.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hyperlink" Target="https://www.gov.scot/binaries/content/documents/govscot/publications/strategy-plan/2023/02/national-planning-framework-4/documents/national-planning-framework-4-revised-draft/national-planning-framework-4-revised-draft/govscot%3Adocument/national-planning-framework-4.pdf" TargetMode="External"/><Relationship Id="rId36" Type="http://schemas.openxmlformats.org/officeDocument/2006/relationships/hyperlink" Target="https://www.gov.scot/binaries/content/documents/govscot/publications/strategy-plan/2023/02/national-planning-framework-4/documents/national-planning-framework-4-revised-draft/national-planning-framework-4-revised-draft/govscot%3Adocument/national-planning-framework-4.pdf" TargetMode="External"/><Relationship Id="rId10" Type="http://schemas.openxmlformats.org/officeDocument/2006/relationships/endnotes" Target="endnotes.xml"/><Relationship Id="rId19" Type="http://schemas.microsoft.com/office/2007/relationships/diagramDrawing" Target="diagrams/drawing1.xml"/><Relationship Id="rId31" Type="http://schemas.openxmlformats.org/officeDocument/2006/relationships/footer" Target="footer1.xml"/><Relationship Id="rId44" Type="http://schemas.openxmlformats.org/officeDocument/2006/relationships/hyperlink" Target="http://contactscotland-bsl.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binaries/content/documents/govscot/publications/strategy-plan/2023/02/national-planning-framework-4/documents/national-planning-framework-4-revised-draft/national-planning-framework-4-revised-draft/govscot%3Adocument/national-planning-framework-4.pdf" TargetMode="External"/><Relationship Id="rId22" Type="http://schemas.openxmlformats.org/officeDocument/2006/relationships/diagramQuickStyle" Target="diagrams/quickStyle2.xml"/><Relationship Id="rId27" Type="http://schemas.openxmlformats.org/officeDocument/2006/relationships/hyperlink" Target="https://view.officeapps.live.com/op/view.aspx?src=https%3A%2F%2Fwww.sepa.org.uk%2Fmedia%2Fhbghpr1p%2Fflood-risk-standing-advice.docx&amp;wdOrigin=BROWSELINK" TargetMode="External"/><Relationship Id="rId30" Type="http://schemas.openxmlformats.org/officeDocument/2006/relationships/header" Target="header2.xml"/><Relationship Id="rId35" Type="http://schemas.openxmlformats.org/officeDocument/2006/relationships/hyperlink" Target="https://www.gov.scot/binaries/content/documents/govscot/publications/strategy-plan/2023/02/national-planning-framework-4/documents/national-planning-framework-4-revised-draft/national-planning-framework-4-revised-draft/govscot%3Adocument/national-planning-framework-4.pdf" TargetMode="External"/><Relationship Id="rId43" Type="http://schemas.openxmlformats.org/officeDocument/2006/relationships/hyperlink" Target="mailto:equalities@sepa.org.uk"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diagramQuickStyle" Target="diagrams/quickStyle1.xml"/><Relationship Id="rId25" Type="http://schemas.openxmlformats.org/officeDocument/2006/relationships/hyperlink" Target="https://www.gov.scot/binaries/content/documents/govscot/publications/strategy-plan/2023/02/national-planning-framework-4/documents/national-planning-framework-4-revised-draft/national-planning-framework-4-revised-draft/govscot%3Adocument/national-planning-framework-4.pdf" TargetMode="External"/><Relationship Id="rId33" Type="http://schemas.openxmlformats.org/officeDocument/2006/relationships/header" Target="header3.xml"/><Relationship Id="rId38" Type="http://schemas.openxmlformats.org/officeDocument/2006/relationships/header" Target="header5.xml"/><Relationship Id="rId46" Type="http://schemas.openxmlformats.org/officeDocument/2006/relationships/theme" Target="theme/theme1.xml"/><Relationship Id="rId20" Type="http://schemas.openxmlformats.org/officeDocument/2006/relationships/diagramData" Target="diagrams/data2.xml"/><Relationship Id="rId41" Type="http://schemas.openxmlformats.org/officeDocument/2006/relationships/header" Target="header6.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www.gov.scot/binaries/content/documents/govscot/publications/strategy-plan/2023/02/national-planning-framework-4/documents/national-planning-framework-4-revised-draft/national-planning-framework-4-revised-draft/govscot%3Adocument/national-planning-framework-4.pdf" TargetMode="External"/><Relationship Id="rId1" Type="http://schemas.openxmlformats.org/officeDocument/2006/relationships/hyperlink" Target="https://www.gov.scot/binaries/content/documents/govscot/publications/strategy-plan/2023/02/national-planning-framework-4/documents/national-planning-framework-4-revised-draft/national-planning-framework-4-revised-draft/govscot%3Adocument/national-planning-framework-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built_environment_cover.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6D6910-878B-43F1-9B90-C9045C96A202}" type="doc">
      <dgm:prSet loTypeId="urn:microsoft.com/office/officeart/2005/8/layout/equation1" loCatId="process" qsTypeId="urn:microsoft.com/office/officeart/2005/8/quickstyle/simple1" qsCatId="simple" csTypeId="urn:microsoft.com/office/officeart/2005/8/colors/accent1_2" csCatId="accent1" phldr="1"/>
      <dgm:spPr/>
    </dgm:pt>
    <dgm:pt modelId="{A9DA238E-8F5D-4E27-B1D7-455785A5B7B3}">
      <dgm:prSet phldrT="[Text]" custT="1"/>
      <dgm:spPr>
        <a:xfrm>
          <a:off x="47" y="338787"/>
          <a:ext cx="1850469" cy="738474"/>
        </a:xfrm>
        <a:prstGeom prst="ellipse">
          <a:avLst/>
        </a:prstGeom>
        <a:solidFill>
          <a:srgbClr val="016574">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lstStyle/>
        <a:p>
          <a:pPr>
            <a:buNone/>
          </a:pPr>
          <a:r>
            <a:rPr lang="en-GB" sz="1200" b="1">
              <a:solidFill>
                <a:srgbClr val="FFFFFF"/>
              </a:solidFill>
              <a:latin typeface="Arial" panose="020B0604020202020204"/>
              <a:ea typeface="+mn-ea"/>
              <a:cs typeface="+mn-cs"/>
            </a:rPr>
            <a:t>RISK </a:t>
          </a:r>
          <a:r>
            <a:rPr lang="en-GB" sz="600">
              <a:solidFill>
                <a:srgbClr val="FFFFFF"/>
              </a:solidFill>
              <a:latin typeface="Arial" panose="020B0604020202020204"/>
              <a:ea typeface="+mn-ea"/>
              <a:cs typeface="+mn-cs"/>
            </a:rPr>
            <a:t>	</a:t>
          </a:r>
        </a:p>
      </dgm:t>
    </dgm:pt>
    <dgm:pt modelId="{1453CAE6-7CCA-4B8D-848B-62AE8EA4580A}" type="parTrans" cxnId="{72D0D3F0-BD62-46A7-B47C-70A409010940}">
      <dgm:prSet/>
      <dgm:spPr/>
      <dgm:t>
        <a:bodyPr/>
        <a:lstStyle/>
        <a:p>
          <a:endParaRPr lang="en-GB"/>
        </a:p>
      </dgm:t>
    </dgm:pt>
    <dgm:pt modelId="{C1EF77AC-308F-432A-A00A-5C108155D762}" type="sibTrans" cxnId="{72D0D3F0-BD62-46A7-B47C-70A409010940}">
      <dgm:prSet/>
      <dgm:spPr>
        <a:xfrm rot="3159523">
          <a:off x="1910481" y="493867"/>
          <a:ext cx="428315" cy="428315"/>
        </a:xfrm>
        <a:prstGeom prst="mathPlus">
          <a:avLst/>
        </a:prstGeom>
        <a:solidFill>
          <a:srgbClr val="016574">
            <a:tint val="60000"/>
            <a:hueOff val="0"/>
            <a:satOff val="0"/>
            <a:lumOff val="0"/>
            <a:alphaOff val="0"/>
          </a:srgbClr>
        </a:solidFill>
        <a:ln>
          <a:noFill/>
        </a:ln>
        <a:effectLst/>
      </dgm:spPr>
      <dgm:t>
        <a:bodyPr/>
        <a:lstStyle/>
        <a:p>
          <a:pPr>
            <a:buNone/>
          </a:pPr>
          <a:endParaRPr lang="en-GB">
            <a:solidFill>
              <a:srgbClr val="FFFFFF"/>
            </a:solidFill>
            <a:latin typeface="Arial" panose="020B0604020202020204"/>
            <a:ea typeface="+mn-ea"/>
            <a:cs typeface="+mn-cs"/>
          </a:endParaRPr>
        </a:p>
      </dgm:t>
    </dgm:pt>
    <dgm:pt modelId="{8E2C05D5-44B7-4C12-8F9D-BF769BF80CAC}">
      <dgm:prSet phldrT="[Text]" custT="1"/>
      <dgm:spPr>
        <a:xfrm>
          <a:off x="2398761" y="338787"/>
          <a:ext cx="1922655" cy="738474"/>
        </a:xfrm>
        <a:prstGeom prst="ellipse">
          <a:avLst/>
        </a:prstGeom>
        <a:solidFill>
          <a:srgbClr val="016574">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lstStyle/>
        <a:p>
          <a:pPr>
            <a:buNone/>
          </a:pPr>
          <a:r>
            <a:rPr lang="en-GB" sz="1200" b="1">
              <a:solidFill>
                <a:srgbClr val="FFFFFF"/>
              </a:solidFill>
              <a:latin typeface="Arial" panose="020B0604020202020204"/>
              <a:ea typeface="+mn-ea"/>
              <a:cs typeface="+mn-cs"/>
            </a:rPr>
            <a:t>HAZARD</a:t>
          </a:r>
        </a:p>
      </dgm:t>
    </dgm:pt>
    <dgm:pt modelId="{0E678456-90B6-44E2-8AF9-308C9B0F158F}" type="parTrans" cxnId="{8D94E5EE-8E30-4475-8F40-E909F54BEF1E}">
      <dgm:prSet/>
      <dgm:spPr/>
      <dgm:t>
        <a:bodyPr/>
        <a:lstStyle/>
        <a:p>
          <a:endParaRPr lang="en-GB"/>
        </a:p>
      </dgm:t>
    </dgm:pt>
    <dgm:pt modelId="{D0AE9403-1B9B-43E8-8031-8E447D70FAB2}" type="sibTrans" cxnId="{8D94E5EE-8E30-4475-8F40-E909F54BEF1E}">
      <dgm:prSet/>
      <dgm:spPr>
        <a:xfrm>
          <a:off x="4381380" y="493867"/>
          <a:ext cx="428315" cy="428315"/>
        </a:xfrm>
        <a:prstGeom prst="mathEqual">
          <a:avLst/>
        </a:prstGeom>
        <a:solidFill>
          <a:srgbClr val="016574">
            <a:tint val="60000"/>
            <a:hueOff val="0"/>
            <a:satOff val="0"/>
            <a:lumOff val="0"/>
            <a:alphaOff val="0"/>
          </a:srgbClr>
        </a:solidFill>
        <a:ln>
          <a:noFill/>
        </a:ln>
        <a:effectLst/>
      </dgm:spPr>
      <dgm:t>
        <a:bodyPr/>
        <a:lstStyle/>
        <a:p>
          <a:pPr>
            <a:buNone/>
          </a:pPr>
          <a:endParaRPr lang="en-GB">
            <a:solidFill>
              <a:srgbClr val="FFFFFF"/>
            </a:solidFill>
            <a:latin typeface="Arial" panose="020B0604020202020204"/>
            <a:ea typeface="+mn-ea"/>
            <a:cs typeface="+mn-cs"/>
          </a:endParaRPr>
        </a:p>
      </dgm:t>
    </dgm:pt>
    <dgm:pt modelId="{4BC55DDD-093F-4FFB-BEBF-83F778CB0665}">
      <dgm:prSet phldrT="[Text]" custT="1"/>
      <dgm:spPr>
        <a:xfrm>
          <a:off x="4869708" y="314934"/>
          <a:ext cx="1621261" cy="738474"/>
        </a:xfrm>
        <a:prstGeom prst="ellipse">
          <a:avLst/>
        </a:prstGeom>
        <a:solidFill>
          <a:srgbClr val="016574">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lstStyle/>
        <a:p>
          <a:pPr>
            <a:buNone/>
          </a:pPr>
          <a:r>
            <a:rPr lang="en-GB" sz="1200" b="1">
              <a:solidFill>
                <a:srgbClr val="FFFFFF"/>
              </a:solidFill>
              <a:latin typeface="Arial" panose="020B0604020202020204"/>
              <a:ea typeface="+mn-ea"/>
              <a:cs typeface="+mn-cs"/>
            </a:rPr>
            <a:t>VULNERABILITY </a:t>
          </a:r>
        </a:p>
      </dgm:t>
    </dgm:pt>
    <dgm:pt modelId="{21318FFB-1D84-4556-809E-34D0FD0FAAA1}" type="parTrans" cxnId="{21EC01E2-2693-4C79-A3B7-951A2587E142}">
      <dgm:prSet/>
      <dgm:spPr/>
      <dgm:t>
        <a:bodyPr/>
        <a:lstStyle/>
        <a:p>
          <a:endParaRPr lang="en-GB"/>
        </a:p>
      </dgm:t>
    </dgm:pt>
    <dgm:pt modelId="{1DE4E5D7-FF11-4233-A3E6-523D06A98F5E}" type="sibTrans" cxnId="{21EC01E2-2693-4C79-A3B7-951A2587E142}">
      <dgm:prSet/>
      <dgm:spPr/>
      <dgm:t>
        <a:bodyPr/>
        <a:lstStyle/>
        <a:p>
          <a:endParaRPr lang="en-GB"/>
        </a:p>
      </dgm:t>
    </dgm:pt>
    <dgm:pt modelId="{205A005E-B4A6-4F4D-A123-52CA54B718C1}" type="pres">
      <dgm:prSet presAssocID="{256D6910-878B-43F1-9B90-C9045C96A202}" presName="linearFlow" presStyleCnt="0">
        <dgm:presLayoutVars>
          <dgm:dir/>
          <dgm:resizeHandles val="exact"/>
        </dgm:presLayoutVars>
      </dgm:prSet>
      <dgm:spPr/>
    </dgm:pt>
    <dgm:pt modelId="{D7575C39-6FDB-42B4-B5E3-A66D25033AE7}" type="pres">
      <dgm:prSet presAssocID="{A9DA238E-8F5D-4E27-B1D7-455785A5B7B3}" presName="node" presStyleLbl="node1" presStyleIdx="0" presStyleCnt="3" custScaleX="250580" custLinFactNeighborX="-51566" custLinFactNeighborY="-2946">
        <dgm:presLayoutVars>
          <dgm:bulletEnabled val="1"/>
        </dgm:presLayoutVars>
      </dgm:prSet>
      <dgm:spPr/>
    </dgm:pt>
    <dgm:pt modelId="{461F3A21-60F6-47AC-82DC-A35EBB30AF53}" type="pres">
      <dgm:prSet presAssocID="{C1EF77AC-308F-432A-A00A-5C108155D762}" presName="spacerL" presStyleCnt="0"/>
      <dgm:spPr/>
    </dgm:pt>
    <dgm:pt modelId="{1C3E991B-9AE4-4F17-A99D-D86C83D04706}" type="pres">
      <dgm:prSet presAssocID="{C1EF77AC-308F-432A-A00A-5C108155D762}" presName="sibTrans" presStyleLbl="sibTrans2D1" presStyleIdx="0" presStyleCnt="2" custAng="2514125" custLinFactX="500000" custLinFactNeighborX="533152" custLinFactNeighborY="-8610"/>
      <dgm:spPr/>
    </dgm:pt>
    <dgm:pt modelId="{F65BF916-263D-4E23-96E9-DA1CE6271FE3}" type="pres">
      <dgm:prSet presAssocID="{C1EF77AC-308F-432A-A00A-5C108155D762}" presName="spacerR" presStyleCnt="0"/>
      <dgm:spPr/>
    </dgm:pt>
    <dgm:pt modelId="{D70D44E9-71A9-4D7C-9649-E20EB119340D}" type="pres">
      <dgm:prSet presAssocID="{8E2C05D5-44B7-4C12-8F9D-BF769BF80CAC}" presName="node" presStyleLbl="node1" presStyleIdx="1" presStyleCnt="3" custScaleX="260355">
        <dgm:presLayoutVars>
          <dgm:bulletEnabled val="1"/>
        </dgm:presLayoutVars>
      </dgm:prSet>
      <dgm:spPr/>
    </dgm:pt>
    <dgm:pt modelId="{43809C63-B71F-4873-8BC7-9D70197CE474}" type="pres">
      <dgm:prSet presAssocID="{D0AE9403-1B9B-43E8-8031-8E447D70FAB2}" presName="spacerL" presStyleCnt="0"/>
      <dgm:spPr/>
    </dgm:pt>
    <dgm:pt modelId="{BC476C28-60E6-41DC-AC32-4F088BF76B66}" type="pres">
      <dgm:prSet presAssocID="{D0AE9403-1B9B-43E8-8031-8E447D70FAB2}" presName="sibTrans" presStyleLbl="sibTrans2D1" presStyleIdx="1" presStyleCnt="2" custLinFactX="-500000" custLinFactNeighborX="-557343" custLinFactNeighborY="-9565"/>
      <dgm:spPr/>
    </dgm:pt>
    <dgm:pt modelId="{DB259872-6D99-4F41-8894-B2A37E8B31C0}" type="pres">
      <dgm:prSet presAssocID="{D0AE9403-1B9B-43E8-8031-8E447D70FAB2}" presName="spacerR" presStyleCnt="0"/>
      <dgm:spPr/>
    </dgm:pt>
    <dgm:pt modelId="{E5222AA8-A80F-49B5-9CC1-02B5B86E5D77}" type="pres">
      <dgm:prSet presAssocID="{4BC55DDD-093F-4FFB-BEBF-83F778CB0665}" presName="node" presStyleLbl="node1" presStyleIdx="2" presStyleCnt="3" custScaleX="257374" custLinFactNeighborX="27686" custLinFactNeighborY="-4033">
        <dgm:presLayoutVars>
          <dgm:bulletEnabled val="1"/>
        </dgm:presLayoutVars>
      </dgm:prSet>
      <dgm:spPr/>
    </dgm:pt>
  </dgm:ptLst>
  <dgm:cxnLst>
    <dgm:cxn modelId="{5E101640-770F-4503-9582-5A7F8C6B6263}" type="presOf" srcId="{4BC55DDD-093F-4FFB-BEBF-83F778CB0665}" destId="{E5222AA8-A80F-49B5-9CC1-02B5B86E5D77}" srcOrd="0" destOrd="0" presId="urn:microsoft.com/office/officeart/2005/8/layout/equation1"/>
    <dgm:cxn modelId="{C9FCEF82-8AFD-4E34-9361-BBEF7CB1CDEC}" type="presOf" srcId="{D0AE9403-1B9B-43E8-8031-8E447D70FAB2}" destId="{BC476C28-60E6-41DC-AC32-4F088BF76B66}" srcOrd="0" destOrd="0" presId="urn:microsoft.com/office/officeart/2005/8/layout/equation1"/>
    <dgm:cxn modelId="{01925C86-5BF7-493E-8389-D582D55BB368}" type="presOf" srcId="{8E2C05D5-44B7-4C12-8F9D-BF769BF80CAC}" destId="{D70D44E9-71A9-4D7C-9649-E20EB119340D}" srcOrd="0" destOrd="0" presId="urn:microsoft.com/office/officeart/2005/8/layout/equation1"/>
    <dgm:cxn modelId="{A1C2C2A8-65CD-46D1-B031-50541BE53AE7}" type="presOf" srcId="{C1EF77AC-308F-432A-A00A-5C108155D762}" destId="{1C3E991B-9AE4-4F17-A99D-D86C83D04706}" srcOrd="0" destOrd="0" presId="urn:microsoft.com/office/officeart/2005/8/layout/equation1"/>
    <dgm:cxn modelId="{EB28F0AC-F985-42B8-BA0F-B49A6BB163A4}" type="presOf" srcId="{A9DA238E-8F5D-4E27-B1D7-455785A5B7B3}" destId="{D7575C39-6FDB-42B4-B5E3-A66D25033AE7}" srcOrd="0" destOrd="0" presId="urn:microsoft.com/office/officeart/2005/8/layout/equation1"/>
    <dgm:cxn modelId="{39E36CB2-9971-43CA-8EE4-379B9A3A261E}" type="presOf" srcId="{256D6910-878B-43F1-9B90-C9045C96A202}" destId="{205A005E-B4A6-4F4D-A123-52CA54B718C1}" srcOrd="0" destOrd="0" presId="urn:microsoft.com/office/officeart/2005/8/layout/equation1"/>
    <dgm:cxn modelId="{21EC01E2-2693-4C79-A3B7-951A2587E142}" srcId="{256D6910-878B-43F1-9B90-C9045C96A202}" destId="{4BC55DDD-093F-4FFB-BEBF-83F778CB0665}" srcOrd="2" destOrd="0" parTransId="{21318FFB-1D84-4556-809E-34D0FD0FAAA1}" sibTransId="{1DE4E5D7-FF11-4233-A3E6-523D06A98F5E}"/>
    <dgm:cxn modelId="{8D94E5EE-8E30-4475-8F40-E909F54BEF1E}" srcId="{256D6910-878B-43F1-9B90-C9045C96A202}" destId="{8E2C05D5-44B7-4C12-8F9D-BF769BF80CAC}" srcOrd="1" destOrd="0" parTransId="{0E678456-90B6-44E2-8AF9-308C9B0F158F}" sibTransId="{D0AE9403-1B9B-43E8-8031-8E447D70FAB2}"/>
    <dgm:cxn modelId="{72D0D3F0-BD62-46A7-B47C-70A409010940}" srcId="{256D6910-878B-43F1-9B90-C9045C96A202}" destId="{A9DA238E-8F5D-4E27-B1D7-455785A5B7B3}" srcOrd="0" destOrd="0" parTransId="{1453CAE6-7CCA-4B8D-848B-62AE8EA4580A}" sibTransId="{C1EF77AC-308F-432A-A00A-5C108155D762}"/>
    <dgm:cxn modelId="{40194EB4-7365-493E-AD26-24645024ECCA}" type="presParOf" srcId="{205A005E-B4A6-4F4D-A123-52CA54B718C1}" destId="{D7575C39-6FDB-42B4-B5E3-A66D25033AE7}" srcOrd="0" destOrd="0" presId="urn:microsoft.com/office/officeart/2005/8/layout/equation1"/>
    <dgm:cxn modelId="{72EE7D3A-042C-4277-BF4B-5DD12B7A519E}" type="presParOf" srcId="{205A005E-B4A6-4F4D-A123-52CA54B718C1}" destId="{461F3A21-60F6-47AC-82DC-A35EBB30AF53}" srcOrd="1" destOrd="0" presId="urn:microsoft.com/office/officeart/2005/8/layout/equation1"/>
    <dgm:cxn modelId="{F2615943-E3ED-4E9A-B51E-D79E7B71727F}" type="presParOf" srcId="{205A005E-B4A6-4F4D-A123-52CA54B718C1}" destId="{1C3E991B-9AE4-4F17-A99D-D86C83D04706}" srcOrd="2" destOrd="0" presId="urn:microsoft.com/office/officeart/2005/8/layout/equation1"/>
    <dgm:cxn modelId="{4DECD56A-0A83-462A-B843-E8683BD0CB70}" type="presParOf" srcId="{205A005E-B4A6-4F4D-A123-52CA54B718C1}" destId="{F65BF916-263D-4E23-96E9-DA1CE6271FE3}" srcOrd="3" destOrd="0" presId="urn:microsoft.com/office/officeart/2005/8/layout/equation1"/>
    <dgm:cxn modelId="{5BDDA646-C19B-4659-9DA8-06DC666259CC}" type="presParOf" srcId="{205A005E-B4A6-4F4D-A123-52CA54B718C1}" destId="{D70D44E9-71A9-4D7C-9649-E20EB119340D}" srcOrd="4" destOrd="0" presId="urn:microsoft.com/office/officeart/2005/8/layout/equation1"/>
    <dgm:cxn modelId="{2AE50624-C7B0-4CE9-8062-96E4F787E569}" type="presParOf" srcId="{205A005E-B4A6-4F4D-A123-52CA54B718C1}" destId="{43809C63-B71F-4873-8BC7-9D70197CE474}" srcOrd="5" destOrd="0" presId="urn:microsoft.com/office/officeart/2005/8/layout/equation1"/>
    <dgm:cxn modelId="{830B7203-9DBF-4910-879D-AD3F1DB6702B}" type="presParOf" srcId="{205A005E-B4A6-4F4D-A123-52CA54B718C1}" destId="{BC476C28-60E6-41DC-AC32-4F088BF76B66}" srcOrd="6" destOrd="0" presId="urn:microsoft.com/office/officeart/2005/8/layout/equation1"/>
    <dgm:cxn modelId="{9E1D7A89-A2B9-465E-A0FC-1CDD41876617}" type="presParOf" srcId="{205A005E-B4A6-4F4D-A123-52CA54B718C1}" destId="{DB259872-6D99-4F41-8894-B2A37E8B31C0}" srcOrd="7" destOrd="0" presId="urn:microsoft.com/office/officeart/2005/8/layout/equation1"/>
    <dgm:cxn modelId="{3E912BBF-70BC-471F-8E8F-7E2FE824322E}" type="presParOf" srcId="{205A005E-B4A6-4F4D-A123-52CA54B718C1}" destId="{E5222AA8-A80F-49B5-9CC1-02B5B86E5D77}" srcOrd="8" destOrd="0" presId="urn:microsoft.com/office/officeart/2005/8/layout/equation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E10D281-96D5-4781-B669-FA2FD8C5F638}" type="doc">
      <dgm:prSet loTypeId="urn:microsoft.com/office/officeart/2005/8/layout/cycle8" loCatId="cycle" qsTypeId="urn:microsoft.com/office/officeart/2005/8/quickstyle/simple1" qsCatId="simple" csTypeId="urn:microsoft.com/office/officeart/2005/8/colors/accent1_2" csCatId="accent1" phldr="1"/>
      <dgm:spPr/>
    </dgm:pt>
    <dgm:pt modelId="{3740209D-0A13-41D0-A2EA-65B0DFCFA790}">
      <dgm:prSet phldrT="[Text]" custT="1"/>
      <dgm:spPr>
        <a:xfrm>
          <a:off x="1622420" y="256571"/>
          <a:ext cx="3499846" cy="3499846"/>
        </a:xfrm>
        <a:prstGeom prst="pie">
          <a:avLst>
            <a:gd name="adj1" fmla="val 16200000"/>
            <a:gd name="adj2" fmla="val 0"/>
          </a:avLst>
        </a:prstGeom>
        <a:solidFill>
          <a:srgbClr val="016574">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lstStyle/>
        <a:p>
          <a:pPr>
            <a:buNone/>
          </a:pPr>
          <a:r>
            <a:rPr lang="en-GB" sz="1100" b="1">
              <a:solidFill>
                <a:srgbClr val="FFFFFF"/>
              </a:solidFill>
              <a:latin typeface="Arial" panose="020B0604020202020204"/>
              <a:ea typeface="+mn-ea"/>
              <a:cs typeface="+mn-cs"/>
            </a:rPr>
            <a:t>Community impact of being flooded </a:t>
          </a:r>
        </a:p>
      </dgm:t>
    </dgm:pt>
    <dgm:pt modelId="{D5835192-4C65-4C5F-9A7B-0C6FD8148FFE}" type="parTrans" cxnId="{1B145C72-7385-44AA-A5CD-355861AC729E}">
      <dgm:prSet/>
      <dgm:spPr/>
      <dgm:t>
        <a:bodyPr/>
        <a:lstStyle/>
        <a:p>
          <a:endParaRPr lang="en-GB"/>
        </a:p>
      </dgm:t>
    </dgm:pt>
    <dgm:pt modelId="{8B0B6894-C343-4748-B32B-4EB899609ED7}" type="sibTrans" cxnId="{1B145C72-7385-44AA-A5CD-355861AC729E}">
      <dgm:prSet/>
      <dgm:spPr/>
      <dgm:t>
        <a:bodyPr/>
        <a:lstStyle/>
        <a:p>
          <a:endParaRPr lang="en-GB"/>
        </a:p>
      </dgm:t>
    </dgm:pt>
    <dgm:pt modelId="{453229D4-44D7-4C3F-9FD1-F367447DFF91}">
      <dgm:prSet custT="1"/>
      <dgm:spPr>
        <a:xfrm>
          <a:off x="1504925" y="256571"/>
          <a:ext cx="3499846" cy="3499846"/>
        </a:xfrm>
        <a:prstGeom prst="pie">
          <a:avLst>
            <a:gd name="adj1" fmla="val 10800000"/>
            <a:gd name="adj2" fmla="val 16200000"/>
          </a:avLst>
        </a:prstGeom>
        <a:solidFill>
          <a:srgbClr val="016574">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lstStyle/>
        <a:p>
          <a:pPr>
            <a:buNone/>
          </a:pPr>
          <a:r>
            <a:rPr lang="en-GB" sz="1100" b="1">
              <a:solidFill>
                <a:srgbClr val="FFFFFF"/>
              </a:solidFill>
              <a:latin typeface="Arial" panose="020B0604020202020204"/>
              <a:ea typeface="+mn-ea"/>
              <a:cs typeface="+mn-cs"/>
            </a:rPr>
            <a:t>Resilience to recover from flooding </a:t>
          </a:r>
        </a:p>
      </dgm:t>
    </dgm:pt>
    <dgm:pt modelId="{DE309F13-B17F-4723-AE50-68FD671C0D04}" type="parTrans" cxnId="{046E02E6-46F0-408E-AFD6-FE6F0F451080}">
      <dgm:prSet/>
      <dgm:spPr/>
      <dgm:t>
        <a:bodyPr/>
        <a:lstStyle/>
        <a:p>
          <a:endParaRPr lang="en-GB"/>
        </a:p>
      </dgm:t>
    </dgm:pt>
    <dgm:pt modelId="{B8AE8F6C-BBD3-45FB-984E-8190FCA8CA42}" type="sibTrans" cxnId="{046E02E6-46F0-408E-AFD6-FE6F0F451080}">
      <dgm:prSet/>
      <dgm:spPr/>
      <dgm:t>
        <a:bodyPr/>
        <a:lstStyle/>
        <a:p>
          <a:endParaRPr lang="en-GB"/>
        </a:p>
      </dgm:t>
    </dgm:pt>
    <dgm:pt modelId="{C81108BA-D14C-4600-BA7A-746B0A9601B9}">
      <dgm:prSet custT="1"/>
      <dgm:spPr>
        <a:xfrm>
          <a:off x="1504925" y="374066"/>
          <a:ext cx="3499846" cy="3499846"/>
        </a:xfrm>
        <a:prstGeom prst="pie">
          <a:avLst>
            <a:gd name="adj1" fmla="val 5400000"/>
            <a:gd name="adj2" fmla="val 10800000"/>
          </a:avLst>
        </a:prstGeom>
        <a:solidFill>
          <a:srgbClr val="016574">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lstStyle/>
        <a:p>
          <a:pPr>
            <a:buNone/>
          </a:pPr>
          <a:endParaRPr lang="en-GB" sz="800" b="1">
            <a:solidFill>
              <a:srgbClr val="FFFFFF"/>
            </a:solidFill>
            <a:latin typeface="Arial" panose="020B0604020202020204"/>
            <a:ea typeface="+mn-ea"/>
            <a:cs typeface="+mn-cs"/>
          </a:endParaRPr>
        </a:p>
        <a:p>
          <a:pPr>
            <a:buNone/>
          </a:pPr>
          <a:endParaRPr lang="en-GB" sz="1100" b="1">
            <a:solidFill>
              <a:srgbClr val="FFFFFF"/>
            </a:solidFill>
            <a:latin typeface="Arial" panose="020B0604020202020204"/>
            <a:ea typeface="+mn-ea"/>
            <a:cs typeface="+mn-cs"/>
          </a:endParaRPr>
        </a:p>
        <a:p>
          <a:pPr>
            <a:buNone/>
          </a:pPr>
          <a:r>
            <a:rPr lang="en-GB" sz="1100" b="1">
              <a:solidFill>
                <a:srgbClr val="FFFFFF"/>
              </a:solidFill>
              <a:latin typeface="Arial" panose="020B0604020202020204"/>
              <a:ea typeface="+mn-ea"/>
              <a:cs typeface="+mn-cs"/>
            </a:rPr>
            <a:t>Susceptiblity to be harmed</a:t>
          </a:r>
          <a:r>
            <a:rPr lang="en-GB" sz="1100">
              <a:solidFill>
                <a:srgbClr val="FFFFFF"/>
              </a:solidFill>
              <a:latin typeface="Arial" panose="020B0604020202020204"/>
              <a:ea typeface="+mn-ea"/>
              <a:cs typeface="+mn-cs"/>
            </a:rPr>
            <a:t> </a:t>
          </a:r>
          <a:r>
            <a:rPr lang="en-GB" sz="1100" b="1">
              <a:solidFill>
                <a:srgbClr val="FFFFFF"/>
              </a:solidFill>
              <a:latin typeface="Arial" panose="020B0604020202020204"/>
              <a:ea typeface="+mn-ea"/>
              <a:cs typeface="+mn-cs"/>
            </a:rPr>
            <a:t>by flooding </a:t>
          </a:r>
        </a:p>
      </dgm:t>
    </dgm:pt>
    <dgm:pt modelId="{C4A4A55A-4462-4498-BB85-B02FD6F83A81}" type="parTrans" cxnId="{F58630C5-F015-4BBB-9105-88205D50B4BD}">
      <dgm:prSet/>
      <dgm:spPr/>
      <dgm:t>
        <a:bodyPr/>
        <a:lstStyle/>
        <a:p>
          <a:endParaRPr lang="en-GB"/>
        </a:p>
      </dgm:t>
    </dgm:pt>
    <dgm:pt modelId="{1A083668-E1D1-49E4-975F-1B9D60655BF5}" type="sibTrans" cxnId="{F58630C5-F015-4BBB-9105-88205D50B4BD}">
      <dgm:prSet/>
      <dgm:spPr/>
      <dgm:t>
        <a:bodyPr/>
        <a:lstStyle/>
        <a:p>
          <a:endParaRPr lang="en-GB"/>
        </a:p>
      </dgm:t>
    </dgm:pt>
    <dgm:pt modelId="{B3FAEAD7-1EBD-4C4C-A518-288FA3C9F216}">
      <dgm:prSet custT="1"/>
      <dgm:spPr>
        <a:xfrm>
          <a:off x="1622420" y="374066"/>
          <a:ext cx="3499846" cy="3499846"/>
        </a:xfrm>
        <a:prstGeom prst="pie">
          <a:avLst>
            <a:gd name="adj1" fmla="val 0"/>
            <a:gd name="adj2" fmla="val 5400000"/>
          </a:avLst>
        </a:prstGeom>
        <a:solidFill>
          <a:srgbClr val="016574">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lstStyle/>
        <a:p>
          <a:pPr>
            <a:buNone/>
          </a:pPr>
          <a:endParaRPr lang="en-GB" sz="700" b="1">
            <a:solidFill>
              <a:srgbClr val="FFFFFF"/>
            </a:solidFill>
            <a:latin typeface="Arial" panose="020B0604020202020204"/>
            <a:ea typeface="+mn-ea"/>
            <a:cs typeface="+mn-cs"/>
          </a:endParaRPr>
        </a:p>
        <a:p>
          <a:pPr>
            <a:buNone/>
          </a:pPr>
          <a:endParaRPr lang="en-GB" sz="700" b="1">
            <a:solidFill>
              <a:srgbClr val="FFFFFF"/>
            </a:solidFill>
            <a:latin typeface="Arial" panose="020B0604020202020204"/>
            <a:ea typeface="+mn-ea"/>
            <a:cs typeface="+mn-cs"/>
          </a:endParaRPr>
        </a:p>
        <a:p>
          <a:pPr>
            <a:buNone/>
          </a:pPr>
          <a:r>
            <a:rPr lang="en-GB" sz="1100" b="1">
              <a:solidFill>
                <a:srgbClr val="FFFFFF"/>
              </a:solidFill>
              <a:latin typeface="Arial" panose="020B0604020202020204"/>
              <a:ea typeface="+mn-ea"/>
              <a:cs typeface="+mn-cs"/>
            </a:rPr>
            <a:t>   Potential</a:t>
          </a:r>
          <a:r>
            <a:rPr lang="en-GB" sz="1100">
              <a:solidFill>
                <a:srgbClr val="FFFFFF"/>
              </a:solidFill>
              <a:latin typeface="Arial" panose="020B0604020202020204"/>
              <a:ea typeface="+mn-ea"/>
              <a:cs typeface="+mn-cs"/>
            </a:rPr>
            <a:t> </a:t>
          </a:r>
          <a:r>
            <a:rPr lang="en-GB" sz="1100" b="1">
              <a:solidFill>
                <a:srgbClr val="FFFFFF"/>
              </a:solidFill>
              <a:latin typeface="Arial" panose="020B0604020202020204"/>
              <a:ea typeface="+mn-ea"/>
              <a:cs typeface="+mn-cs"/>
            </a:rPr>
            <a:t>to adapt to increased flooding in future </a:t>
          </a:r>
        </a:p>
      </dgm:t>
    </dgm:pt>
    <dgm:pt modelId="{3D3E5BB2-5026-4A4F-88A5-8ED65352A034}" type="parTrans" cxnId="{B531D3D4-1AF0-49FE-953D-D7F2FD33FA1A}">
      <dgm:prSet/>
      <dgm:spPr/>
      <dgm:t>
        <a:bodyPr/>
        <a:lstStyle/>
        <a:p>
          <a:endParaRPr lang="en-GB"/>
        </a:p>
      </dgm:t>
    </dgm:pt>
    <dgm:pt modelId="{1C35C38F-EA97-4BBE-BA9A-484A2C1FE146}" type="sibTrans" cxnId="{B531D3D4-1AF0-49FE-953D-D7F2FD33FA1A}">
      <dgm:prSet/>
      <dgm:spPr/>
      <dgm:t>
        <a:bodyPr/>
        <a:lstStyle/>
        <a:p>
          <a:endParaRPr lang="en-GB"/>
        </a:p>
      </dgm:t>
    </dgm:pt>
    <dgm:pt modelId="{BC2485A3-588D-4E0B-AE50-81BB6C67E9AE}" type="pres">
      <dgm:prSet presAssocID="{5E10D281-96D5-4781-B669-FA2FD8C5F638}" presName="compositeShape" presStyleCnt="0">
        <dgm:presLayoutVars>
          <dgm:chMax val="7"/>
          <dgm:dir/>
          <dgm:resizeHandles val="exact"/>
        </dgm:presLayoutVars>
      </dgm:prSet>
      <dgm:spPr/>
    </dgm:pt>
    <dgm:pt modelId="{D82EE9CE-9C0E-42F8-863A-C0B6DBA47726}" type="pres">
      <dgm:prSet presAssocID="{5E10D281-96D5-4781-B669-FA2FD8C5F638}" presName="wedge1" presStyleLbl="node1" presStyleIdx="0" presStyleCnt="4"/>
      <dgm:spPr/>
    </dgm:pt>
    <dgm:pt modelId="{567A66D6-BABC-4254-88C6-87527364B18C}" type="pres">
      <dgm:prSet presAssocID="{5E10D281-96D5-4781-B669-FA2FD8C5F638}" presName="dummy1a" presStyleCnt="0"/>
      <dgm:spPr/>
    </dgm:pt>
    <dgm:pt modelId="{B04CB922-3143-43AB-965B-E5C9C1CF77E2}" type="pres">
      <dgm:prSet presAssocID="{5E10D281-96D5-4781-B669-FA2FD8C5F638}" presName="dummy1b" presStyleCnt="0"/>
      <dgm:spPr/>
    </dgm:pt>
    <dgm:pt modelId="{4E3D45DB-C035-4F6E-8062-544A65F2F097}" type="pres">
      <dgm:prSet presAssocID="{5E10D281-96D5-4781-B669-FA2FD8C5F638}" presName="wedge1Tx" presStyleLbl="node1" presStyleIdx="0" presStyleCnt="4">
        <dgm:presLayoutVars>
          <dgm:chMax val="0"/>
          <dgm:chPref val="0"/>
          <dgm:bulletEnabled val="1"/>
        </dgm:presLayoutVars>
      </dgm:prSet>
      <dgm:spPr/>
    </dgm:pt>
    <dgm:pt modelId="{259427B8-8DB9-42FB-BADB-07B3363C7D8A}" type="pres">
      <dgm:prSet presAssocID="{5E10D281-96D5-4781-B669-FA2FD8C5F638}" presName="wedge2" presStyleLbl="node1" presStyleIdx="1" presStyleCnt="4"/>
      <dgm:spPr/>
    </dgm:pt>
    <dgm:pt modelId="{B77D2A7E-B0AE-4006-B3BE-5DBDABCF82C3}" type="pres">
      <dgm:prSet presAssocID="{5E10D281-96D5-4781-B669-FA2FD8C5F638}" presName="dummy2a" presStyleCnt="0"/>
      <dgm:spPr/>
    </dgm:pt>
    <dgm:pt modelId="{16E2E0D1-10C0-4D12-A4F0-DE3AB811F8E5}" type="pres">
      <dgm:prSet presAssocID="{5E10D281-96D5-4781-B669-FA2FD8C5F638}" presName="dummy2b" presStyleCnt="0"/>
      <dgm:spPr/>
    </dgm:pt>
    <dgm:pt modelId="{E8E6D352-C841-424E-B98E-170263B0BD1F}" type="pres">
      <dgm:prSet presAssocID="{5E10D281-96D5-4781-B669-FA2FD8C5F638}" presName="wedge2Tx" presStyleLbl="node1" presStyleIdx="1" presStyleCnt="4">
        <dgm:presLayoutVars>
          <dgm:chMax val="0"/>
          <dgm:chPref val="0"/>
          <dgm:bulletEnabled val="1"/>
        </dgm:presLayoutVars>
      </dgm:prSet>
      <dgm:spPr/>
    </dgm:pt>
    <dgm:pt modelId="{3D45E19E-D863-4985-B294-A6C21B998BC2}" type="pres">
      <dgm:prSet presAssocID="{5E10D281-96D5-4781-B669-FA2FD8C5F638}" presName="wedge3" presStyleLbl="node1" presStyleIdx="2" presStyleCnt="4"/>
      <dgm:spPr/>
    </dgm:pt>
    <dgm:pt modelId="{1707CE5C-F732-455A-8A4A-EA6BFFFEEB1A}" type="pres">
      <dgm:prSet presAssocID="{5E10D281-96D5-4781-B669-FA2FD8C5F638}" presName="dummy3a" presStyleCnt="0"/>
      <dgm:spPr/>
    </dgm:pt>
    <dgm:pt modelId="{F884D8E0-4DB1-4BB9-9405-280290710BDA}" type="pres">
      <dgm:prSet presAssocID="{5E10D281-96D5-4781-B669-FA2FD8C5F638}" presName="dummy3b" presStyleCnt="0"/>
      <dgm:spPr/>
    </dgm:pt>
    <dgm:pt modelId="{71CFF956-3957-4BA6-BEBC-895734FFB7B8}" type="pres">
      <dgm:prSet presAssocID="{5E10D281-96D5-4781-B669-FA2FD8C5F638}" presName="wedge3Tx" presStyleLbl="node1" presStyleIdx="2" presStyleCnt="4">
        <dgm:presLayoutVars>
          <dgm:chMax val="0"/>
          <dgm:chPref val="0"/>
          <dgm:bulletEnabled val="1"/>
        </dgm:presLayoutVars>
      </dgm:prSet>
      <dgm:spPr/>
    </dgm:pt>
    <dgm:pt modelId="{C5458D2A-B9A9-40D7-9055-03CC7BA43BC0}" type="pres">
      <dgm:prSet presAssocID="{5E10D281-96D5-4781-B669-FA2FD8C5F638}" presName="wedge4" presStyleLbl="node1" presStyleIdx="3" presStyleCnt="4"/>
      <dgm:spPr/>
    </dgm:pt>
    <dgm:pt modelId="{6DBC7EF4-A648-46A7-9BFE-A5EB88857988}" type="pres">
      <dgm:prSet presAssocID="{5E10D281-96D5-4781-B669-FA2FD8C5F638}" presName="dummy4a" presStyleCnt="0"/>
      <dgm:spPr/>
    </dgm:pt>
    <dgm:pt modelId="{3D43AD42-6F1E-48FF-8EEC-7D273695C870}" type="pres">
      <dgm:prSet presAssocID="{5E10D281-96D5-4781-B669-FA2FD8C5F638}" presName="dummy4b" presStyleCnt="0"/>
      <dgm:spPr/>
    </dgm:pt>
    <dgm:pt modelId="{32C3A06E-E656-4012-B958-F599DF016D5C}" type="pres">
      <dgm:prSet presAssocID="{5E10D281-96D5-4781-B669-FA2FD8C5F638}" presName="wedge4Tx" presStyleLbl="node1" presStyleIdx="3" presStyleCnt="4">
        <dgm:presLayoutVars>
          <dgm:chMax val="0"/>
          <dgm:chPref val="0"/>
          <dgm:bulletEnabled val="1"/>
        </dgm:presLayoutVars>
      </dgm:prSet>
      <dgm:spPr/>
    </dgm:pt>
    <dgm:pt modelId="{C7817A92-E8F0-4FDA-AFA2-9C0D83B25BFF}" type="pres">
      <dgm:prSet presAssocID="{8B0B6894-C343-4748-B32B-4EB899609ED7}" presName="arrowWedge1" presStyleLbl="fgSibTrans2D1" presStyleIdx="0" presStyleCnt="4"/>
      <dgm:spPr>
        <a:xfrm>
          <a:off x="1405763" y="39914"/>
          <a:ext cx="3933160" cy="3933160"/>
        </a:xfrm>
        <a:prstGeom prst="circularArrow">
          <a:avLst>
            <a:gd name="adj1" fmla="val 5085"/>
            <a:gd name="adj2" fmla="val 327528"/>
            <a:gd name="adj3" fmla="val 21272472"/>
            <a:gd name="adj4" fmla="val 16200000"/>
            <a:gd name="adj5" fmla="val 5932"/>
          </a:avLst>
        </a:prstGeom>
        <a:solidFill>
          <a:srgbClr val="016574">
            <a:tint val="60000"/>
            <a:hueOff val="0"/>
            <a:satOff val="0"/>
            <a:lumOff val="0"/>
            <a:alphaOff val="0"/>
          </a:srgbClr>
        </a:solidFill>
        <a:ln>
          <a:noFill/>
        </a:ln>
        <a:effectLst/>
      </dgm:spPr>
    </dgm:pt>
    <dgm:pt modelId="{EE7A0CAB-8325-47C6-93CE-FAC10123B00D}" type="pres">
      <dgm:prSet presAssocID="{1C35C38F-EA97-4BBE-BA9A-484A2C1FE146}" presName="arrowWedge2" presStyleLbl="fgSibTrans2D1" presStyleIdx="1" presStyleCnt="4"/>
      <dgm:spPr>
        <a:xfrm>
          <a:off x="1405763" y="157408"/>
          <a:ext cx="3933160" cy="3933160"/>
        </a:xfrm>
        <a:prstGeom prst="circularArrow">
          <a:avLst>
            <a:gd name="adj1" fmla="val 5085"/>
            <a:gd name="adj2" fmla="val 327528"/>
            <a:gd name="adj3" fmla="val 5072472"/>
            <a:gd name="adj4" fmla="val 0"/>
            <a:gd name="adj5" fmla="val 5932"/>
          </a:avLst>
        </a:prstGeom>
        <a:solidFill>
          <a:srgbClr val="016574">
            <a:tint val="60000"/>
            <a:hueOff val="0"/>
            <a:satOff val="0"/>
            <a:lumOff val="0"/>
            <a:alphaOff val="0"/>
          </a:srgbClr>
        </a:solidFill>
        <a:ln>
          <a:noFill/>
        </a:ln>
        <a:effectLst/>
      </dgm:spPr>
    </dgm:pt>
    <dgm:pt modelId="{705AE7FC-FB2E-45A7-B5BB-D1A5BBD31368}" type="pres">
      <dgm:prSet presAssocID="{1A083668-E1D1-49E4-975F-1B9D60655BF5}" presName="arrowWedge3" presStyleLbl="fgSibTrans2D1" presStyleIdx="2" presStyleCnt="4"/>
      <dgm:spPr>
        <a:xfrm>
          <a:off x="1288268" y="157408"/>
          <a:ext cx="3933160" cy="3933160"/>
        </a:xfrm>
        <a:prstGeom prst="circularArrow">
          <a:avLst>
            <a:gd name="adj1" fmla="val 5085"/>
            <a:gd name="adj2" fmla="val 327528"/>
            <a:gd name="adj3" fmla="val 10472472"/>
            <a:gd name="adj4" fmla="val 5400000"/>
            <a:gd name="adj5" fmla="val 5932"/>
          </a:avLst>
        </a:prstGeom>
        <a:solidFill>
          <a:srgbClr val="016574">
            <a:tint val="60000"/>
            <a:hueOff val="0"/>
            <a:satOff val="0"/>
            <a:lumOff val="0"/>
            <a:alphaOff val="0"/>
          </a:srgbClr>
        </a:solidFill>
        <a:ln>
          <a:noFill/>
        </a:ln>
        <a:effectLst/>
      </dgm:spPr>
    </dgm:pt>
    <dgm:pt modelId="{2545BECA-9389-4CEE-8E14-5DBC9A4D41E0}" type="pres">
      <dgm:prSet presAssocID="{B8AE8F6C-BBD3-45FB-984E-8190FCA8CA42}" presName="arrowWedge4" presStyleLbl="fgSibTrans2D1" presStyleIdx="3" presStyleCnt="4"/>
      <dgm:spPr>
        <a:xfrm>
          <a:off x="1288268" y="39914"/>
          <a:ext cx="3933160" cy="3933160"/>
        </a:xfrm>
        <a:prstGeom prst="circularArrow">
          <a:avLst>
            <a:gd name="adj1" fmla="val 5085"/>
            <a:gd name="adj2" fmla="val 327528"/>
            <a:gd name="adj3" fmla="val 15872472"/>
            <a:gd name="adj4" fmla="val 10800000"/>
            <a:gd name="adj5" fmla="val 5932"/>
          </a:avLst>
        </a:prstGeom>
        <a:solidFill>
          <a:srgbClr val="016574">
            <a:tint val="60000"/>
            <a:hueOff val="0"/>
            <a:satOff val="0"/>
            <a:lumOff val="0"/>
            <a:alphaOff val="0"/>
          </a:srgbClr>
        </a:solidFill>
        <a:ln>
          <a:noFill/>
        </a:ln>
        <a:effectLst/>
      </dgm:spPr>
    </dgm:pt>
  </dgm:ptLst>
  <dgm:cxnLst>
    <dgm:cxn modelId="{DF860C0E-5A63-4EAB-82B1-A896BBA35E64}" type="presOf" srcId="{B3FAEAD7-1EBD-4C4C-A518-288FA3C9F216}" destId="{E8E6D352-C841-424E-B98E-170263B0BD1F}" srcOrd="1" destOrd="0" presId="urn:microsoft.com/office/officeart/2005/8/layout/cycle8"/>
    <dgm:cxn modelId="{6D30A213-786D-40F9-9424-E7691ED895D1}" type="presOf" srcId="{453229D4-44D7-4C3F-9FD1-F367447DFF91}" destId="{C5458D2A-B9A9-40D7-9055-03CC7BA43BC0}" srcOrd="0" destOrd="0" presId="urn:microsoft.com/office/officeart/2005/8/layout/cycle8"/>
    <dgm:cxn modelId="{79426425-AB8B-4AF3-BE72-F26FD8BCBEC5}" type="presOf" srcId="{C81108BA-D14C-4600-BA7A-746B0A9601B9}" destId="{71CFF956-3957-4BA6-BEBC-895734FFB7B8}" srcOrd="1" destOrd="0" presId="urn:microsoft.com/office/officeart/2005/8/layout/cycle8"/>
    <dgm:cxn modelId="{EB85E53B-FB07-4CD6-B112-A5A5F2F8022E}" type="presOf" srcId="{3740209D-0A13-41D0-A2EA-65B0DFCFA790}" destId="{D82EE9CE-9C0E-42F8-863A-C0B6DBA47726}" srcOrd="0" destOrd="0" presId="urn:microsoft.com/office/officeart/2005/8/layout/cycle8"/>
    <dgm:cxn modelId="{E3831847-425E-44D1-BF6C-39555F71BB67}" type="presOf" srcId="{3740209D-0A13-41D0-A2EA-65B0DFCFA790}" destId="{4E3D45DB-C035-4F6E-8062-544A65F2F097}" srcOrd="1" destOrd="0" presId="urn:microsoft.com/office/officeart/2005/8/layout/cycle8"/>
    <dgm:cxn modelId="{5C4FA84A-9D78-4F4D-B776-B8DDE8EA1A2B}" type="presOf" srcId="{B3FAEAD7-1EBD-4C4C-A518-288FA3C9F216}" destId="{259427B8-8DB9-42FB-BADB-07B3363C7D8A}" srcOrd="0" destOrd="0" presId="urn:microsoft.com/office/officeart/2005/8/layout/cycle8"/>
    <dgm:cxn modelId="{1B145C72-7385-44AA-A5CD-355861AC729E}" srcId="{5E10D281-96D5-4781-B669-FA2FD8C5F638}" destId="{3740209D-0A13-41D0-A2EA-65B0DFCFA790}" srcOrd="0" destOrd="0" parTransId="{D5835192-4C65-4C5F-9A7B-0C6FD8148FFE}" sibTransId="{8B0B6894-C343-4748-B32B-4EB899609ED7}"/>
    <dgm:cxn modelId="{BEAB1F83-9911-4E2B-89D7-534E3F804AB0}" type="presOf" srcId="{453229D4-44D7-4C3F-9FD1-F367447DFF91}" destId="{32C3A06E-E656-4012-B958-F599DF016D5C}" srcOrd="1" destOrd="0" presId="urn:microsoft.com/office/officeart/2005/8/layout/cycle8"/>
    <dgm:cxn modelId="{36E7EB92-677B-45B9-AA4E-0370452DC76F}" type="presOf" srcId="{C81108BA-D14C-4600-BA7A-746B0A9601B9}" destId="{3D45E19E-D863-4985-B294-A6C21B998BC2}" srcOrd="0" destOrd="0" presId="urn:microsoft.com/office/officeart/2005/8/layout/cycle8"/>
    <dgm:cxn modelId="{4AA4C0AE-E62C-45C0-9745-B069A9E99C37}" type="presOf" srcId="{5E10D281-96D5-4781-B669-FA2FD8C5F638}" destId="{BC2485A3-588D-4E0B-AE50-81BB6C67E9AE}" srcOrd="0" destOrd="0" presId="urn:microsoft.com/office/officeart/2005/8/layout/cycle8"/>
    <dgm:cxn modelId="{F58630C5-F015-4BBB-9105-88205D50B4BD}" srcId="{5E10D281-96D5-4781-B669-FA2FD8C5F638}" destId="{C81108BA-D14C-4600-BA7A-746B0A9601B9}" srcOrd="2" destOrd="0" parTransId="{C4A4A55A-4462-4498-BB85-B02FD6F83A81}" sibTransId="{1A083668-E1D1-49E4-975F-1B9D60655BF5}"/>
    <dgm:cxn modelId="{B531D3D4-1AF0-49FE-953D-D7F2FD33FA1A}" srcId="{5E10D281-96D5-4781-B669-FA2FD8C5F638}" destId="{B3FAEAD7-1EBD-4C4C-A518-288FA3C9F216}" srcOrd="1" destOrd="0" parTransId="{3D3E5BB2-5026-4A4F-88A5-8ED65352A034}" sibTransId="{1C35C38F-EA97-4BBE-BA9A-484A2C1FE146}"/>
    <dgm:cxn modelId="{046E02E6-46F0-408E-AFD6-FE6F0F451080}" srcId="{5E10D281-96D5-4781-B669-FA2FD8C5F638}" destId="{453229D4-44D7-4C3F-9FD1-F367447DFF91}" srcOrd="3" destOrd="0" parTransId="{DE309F13-B17F-4723-AE50-68FD671C0D04}" sibTransId="{B8AE8F6C-BBD3-45FB-984E-8190FCA8CA42}"/>
    <dgm:cxn modelId="{DB99D00D-B7E0-4928-93F2-60465A6CCF57}" type="presParOf" srcId="{BC2485A3-588D-4E0B-AE50-81BB6C67E9AE}" destId="{D82EE9CE-9C0E-42F8-863A-C0B6DBA47726}" srcOrd="0" destOrd="0" presId="urn:microsoft.com/office/officeart/2005/8/layout/cycle8"/>
    <dgm:cxn modelId="{D6A2A903-7B89-4211-8F15-974F5F1E0E85}" type="presParOf" srcId="{BC2485A3-588D-4E0B-AE50-81BB6C67E9AE}" destId="{567A66D6-BABC-4254-88C6-87527364B18C}" srcOrd="1" destOrd="0" presId="urn:microsoft.com/office/officeart/2005/8/layout/cycle8"/>
    <dgm:cxn modelId="{0F4561F3-4A49-4F76-8D57-16B411C58569}" type="presParOf" srcId="{BC2485A3-588D-4E0B-AE50-81BB6C67E9AE}" destId="{B04CB922-3143-43AB-965B-E5C9C1CF77E2}" srcOrd="2" destOrd="0" presId="urn:microsoft.com/office/officeart/2005/8/layout/cycle8"/>
    <dgm:cxn modelId="{9092FE7F-472A-4BE8-961C-346BE5AE3F54}" type="presParOf" srcId="{BC2485A3-588D-4E0B-AE50-81BB6C67E9AE}" destId="{4E3D45DB-C035-4F6E-8062-544A65F2F097}" srcOrd="3" destOrd="0" presId="urn:microsoft.com/office/officeart/2005/8/layout/cycle8"/>
    <dgm:cxn modelId="{9BCBE61A-2BC8-4D56-9C94-F1BB922AE1EA}" type="presParOf" srcId="{BC2485A3-588D-4E0B-AE50-81BB6C67E9AE}" destId="{259427B8-8DB9-42FB-BADB-07B3363C7D8A}" srcOrd="4" destOrd="0" presId="urn:microsoft.com/office/officeart/2005/8/layout/cycle8"/>
    <dgm:cxn modelId="{BFEBA220-0257-45D0-B46C-6E37E8FD51A7}" type="presParOf" srcId="{BC2485A3-588D-4E0B-AE50-81BB6C67E9AE}" destId="{B77D2A7E-B0AE-4006-B3BE-5DBDABCF82C3}" srcOrd="5" destOrd="0" presId="urn:microsoft.com/office/officeart/2005/8/layout/cycle8"/>
    <dgm:cxn modelId="{067E67A7-18C8-44F2-AB7F-F7C39ACE705E}" type="presParOf" srcId="{BC2485A3-588D-4E0B-AE50-81BB6C67E9AE}" destId="{16E2E0D1-10C0-4D12-A4F0-DE3AB811F8E5}" srcOrd="6" destOrd="0" presId="urn:microsoft.com/office/officeart/2005/8/layout/cycle8"/>
    <dgm:cxn modelId="{F4D90F0D-6213-4580-823E-B5DB516FBDEF}" type="presParOf" srcId="{BC2485A3-588D-4E0B-AE50-81BB6C67E9AE}" destId="{E8E6D352-C841-424E-B98E-170263B0BD1F}" srcOrd="7" destOrd="0" presId="urn:microsoft.com/office/officeart/2005/8/layout/cycle8"/>
    <dgm:cxn modelId="{8877A054-7192-4AB4-B35D-8755D8D482C7}" type="presParOf" srcId="{BC2485A3-588D-4E0B-AE50-81BB6C67E9AE}" destId="{3D45E19E-D863-4985-B294-A6C21B998BC2}" srcOrd="8" destOrd="0" presId="urn:microsoft.com/office/officeart/2005/8/layout/cycle8"/>
    <dgm:cxn modelId="{F5230B4A-8FDA-4F7C-93C3-887C8B45F552}" type="presParOf" srcId="{BC2485A3-588D-4E0B-AE50-81BB6C67E9AE}" destId="{1707CE5C-F732-455A-8A4A-EA6BFFFEEB1A}" srcOrd="9" destOrd="0" presId="urn:microsoft.com/office/officeart/2005/8/layout/cycle8"/>
    <dgm:cxn modelId="{4FB4B603-F5DC-42A1-87F5-07A369BFA55D}" type="presParOf" srcId="{BC2485A3-588D-4E0B-AE50-81BB6C67E9AE}" destId="{F884D8E0-4DB1-4BB9-9405-280290710BDA}" srcOrd="10" destOrd="0" presId="urn:microsoft.com/office/officeart/2005/8/layout/cycle8"/>
    <dgm:cxn modelId="{C26628F9-0B1D-49CB-A726-B90541DD9B00}" type="presParOf" srcId="{BC2485A3-588D-4E0B-AE50-81BB6C67E9AE}" destId="{71CFF956-3957-4BA6-BEBC-895734FFB7B8}" srcOrd="11" destOrd="0" presId="urn:microsoft.com/office/officeart/2005/8/layout/cycle8"/>
    <dgm:cxn modelId="{082BCBDA-C2A8-413B-A495-724424257297}" type="presParOf" srcId="{BC2485A3-588D-4E0B-AE50-81BB6C67E9AE}" destId="{C5458D2A-B9A9-40D7-9055-03CC7BA43BC0}" srcOrd="12" destOrd="0" presId="urn:microsoft.com/office/officeart/2005/8/layout/cycle8"/>
    <dgm:cxn modelId="{9A8CDF5A-879A-4E08-8F70-B88F3B6562B6}" type="presParOf" srcId="{BC2485A3-588D-4E0B-AE50-81BB6C67E9AE}" destId="{6DBC7EF4-A648-46A7-9BFE-A5EB88857988}" srcOrd="13" destOrd="0" presId="urn:microsoft.com/office/officeart/2005/8/layout/cycle8"/>
    <dgm:cxn modelId="{88AF5FC3-DCEB-409E-B457-6E372388C4BF}" type="presParOf" srcId="{BC2485A3-588D-4E0B-AE50-81BB6C67E9AE}" destId="{3D43AD42-6F1E-48FF-8EEC-7D273695C870}" srcOrd="14" destOrd="0" presId="urn:microsoft.com/office/officeart/2005/8/layout/cycle8"/>
    <dgm:cxn modelId="{06B08046-CD92-4256-8ED7-8026B9C6C8EC}" type="presParOf" srcId="{BC2485A3-588D-4E0B-AE50-81BB6C67E9AE}" destId="{32C3A06E-E656-4012-B958-F599DF016D5C}" srcOrd="15" destOrd="0" presId="urn:microsoft.com/office/officeart/2005/8/layout/cycle8"/>
    <dgm:cxn modelId="{328684E4-0F54-4E97-BFB2-4371AECDC837}" type="presParOf" srcId="{BC2485A3-588D-4E0B-AE50-81BB6C67E9AE}" destId="{C7817A92-E8F0-4FDA-AFA2-9C0D83B25BFF}" srcOrd="16" destOrd="0" presId="urn:microsoft.com/office/officeart/2005/8/layout/cycle8"/>
    <dgm:cxn modelId="{EFEBDD1E-3289-4874-988A-D61F30F778C4}" type="presParOf" srcId="{BC2485A3-588D-4E0B-AE50-81BB6C67E9AE}" destId="{EE7A0CAB-8325-47C6-93CE-FAC10123B00D}" srcOrd="17" destOrd="0" presId="urn:microsoft.com/office/officeart/2005/8/layout/cycle8"/>
    <dgm:cxn modelId="{AFFB338C-3426-4572-9009-D9261F3E4AB6}" type="presParOf" srcId="{BC2485A3-588D-4E0B-AE50-81BB6C67E9AE}" destId="{705AE7FC-FB2E-45A7-B5BB-D1A5BBD31368}" srcOrd="18" destOrd="0" presId="urn:microsoft.com/office/officeart/2005/8/layout/cycle8"/>
    <dgm:cxn modelId="{A5407FB0-9115-4102-82E4-CFFBA06E40DA}" type="presParOf" srcId="{BC2485A3-588D-4E0B-AE50-81BB6C67E9AE}" destId="{2545BECA-9389-4CEE-8E14-5DBC9A4D41E0}" srcOrd="19" destOrd="0" presId="urn:microsoft.com/office/officeart/2005/8/layout/cycle8"/>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575C39-6FDB-42B4-B5E3-A66D25033AE7}">
      <dsp:nvSpPr>
        <dsp:cNvPr id="0" name=""/>
        <dsp:cNvSpPr/>
      </dsp:nvSpPr>
      <dsp:spPr>
        <a:xfrm>
          <a:off x="0" y="279047"/>
          <a:ext cx="1741336" cy="694922"/>
        </a:xfrm>
        <a:prstGeom prst="ellipse">
          <a:avLst/>
        </a:prstGeom>
        <a:solidFill>
          <a:srgbClr val="016574">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b="1" kern="1200">
              <a:solidFill>
                <a:srgbClr val="FFFFFF"/>
              </a:solidFill>
              <a:latin typeface="Arial" panose="020B0604020202020204"/>
              <a:ea typeface="+mn-ea"/>
              <a:cs typeface="+mn-cs"/>
            </a:rPr>
            <a:t>RISK </a:t>
          </a:r>
          <a:r>
            <a:rPr lang="en-GB" sz="600" kern="1200">
              <a:solidFill>
                <a:srgbClr val="FFFFFF"/>
              </a:solidFill>
              <a:latin typeface="Arial" panose="020B0604020202020204"/>
              <a:ea typeface="+mn-ea"/>
              <a:cs typeface="+mn-cs"/>
            </a:rPr>
            <a:t>	</a:t>
          </a:r>
        </a:p>
      </dsp:txBody>
      <dsp:txXfrm>
        <a:off x="255013" y="380816"/>
        <a:ext cx="1231310" cy="491384"/>
      </dsp:txXfrm>
    </dsp:sp>
    <dsp:sp modelId="{1C3E991B-9AE4-4F17-A99D-D86C83D04706}">
      <dsp:nvSpPr>
        <dsp:cNvPr id="0" name=""/>
        <dsp:cNvSpPr/>
      </dsp:nvSpPr>
      <dsp:spPr>
        <a:xfrm rot="2514125">
          <a:off x="4115858" y="410750"/>
          <a:ext cx="403054" cy="403054"/>
        </a:xfrm>
        <a:prstGeom prst="mathPlus">
          <a:avLst/>
        </a:prstGeom>
        <a:solidFill>
          <a:srgbClr val="01657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solidFill>
              <a:srgbClr val="FFFFFF"/>
            </a:solidFill>
            <a:latin typeface="Arial" panose="020B0604020202020204"/>
            <a:ea typeface="+mn-ea"/>
            <a:cs typeface="+mn-cs"/>
          </a:endParaRPr>
        </a:p>
      </dsp:txBody>
      <dsp:txXfrm>
        <a:off x="4169283" y="564878"/>
        <a:ext cx="296204" cy="94798"/>
      </dsp:txXfrm>
    </dsp:sp>
    <dsp:sp modelId="{D70D44E9-71A9-4D7C-9649-E20EB119340D}">
      <dsp:nvSpPr>
        <dsp:cNvPr id="0" name=""/>
        <dsp:cNvSpPr/>
      </dsp:nvSpPr>
      <dsp:spPr>
        <a:xfrm>
          <a:off x="2259220" y="299519"/>
          <a:ext cx="1809264" cy="694922"/>
        </a:xfrm>
        <a:prstGeom prst="ellipse">
          <a:avLst/>
        </a:prstGeom>
        <a:solidFill>
          <a:srgbClr val="016574">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b="1" kern="1200">
              <a:solidFill>
                <a:srgbClr val="FFFFFF"/>
              </a:solidFill>
              <a:latin typeface="Arial" panose="020B0604020202020204"/>
              <a:ea typeface="+mn-ea"/>
              <a:cs typeface="+mn-cs"/>
            </a:rPr>
            <a:t>HAZARD</a:t>
          </a:r>
        </a:p>
      </dsp:txBody>
      <dsp:txXfrm>
        <a:off x="2524181" y="401288"/>
        <a:ext cx="1279342" cy="491384"/>
      </dsp:txXfrm>
    </dsp:sp>
    <dsp:sp modelId="{BC476C28-60E6-41DC-AC32-4F088BF76B66}">
      <dsp:nvSpPr>
        <dsp:cNvPr id="0" name=""/>
        <dsp:cNvSpPr/>
      </dsp:nvSpPr>
      <dsp:spPr>
        <a:xfrm>
          <a:off x="1795143" y="406901"/>
          <a:ext cx="403054" cy="403054"/>
        </a:xfrm>
        <a:prstGeom prst="mathEqual">
          <a:avLst/>
        </a:prstGeom>
        <a:solidFill>
          <a:srgbClr val="01657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GB" sz="1800" kern="1200">
            <a:solidFill>
              <a:srgbClr val="FFFFFF"/>
            </a:solidFill>
            <a:latin typeface="Arial" panose="020B0604020202020204"/>
            <a:ea typeface="+mn-ea"/>
            <a:cs typeface="+mn-cs"/>
          </a:endParaRPr>
        </a:p>
      </dsp:txBody>
      <dsp:txXfrm>
        <a:off x="1848568" y="489930"/>
        <a:ext cx="296204" cy="236996"/>
      </dsp:txXfrm>
    </dsp:sp>
    <dsp:sp modelId="{E5222AA8-A80F-49B5-9CC1-02B5B86E5D77}">
      <dsp:nvSpPr>
        <dsp:cNvPr id="0" name=""/>
        <dsp:cNvSpPr/>
      </dsp:nvSpPr>
      <dsp:spPr>
        <a:xfrm>
          <a:off x="4586370" y="271493"/>
          <a:ext cx="1788549" cy="694922"/>
        </a:xfrm>
        <a:prstGeom prst="ellipse">
          <a:avLst/>
        </a:prstGeom>
        <a:solidFill>
          <a:srgbClr val="016574">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b="1" kern="1200">
              <a:solidFill>
                <a:srgbClr val="FFFFFF"/>
              </a:solidFill>
              <a:latin typeface="Arial" panose="020B0604020202020204"/>
              <a:ea typeface="+mn-ea"/>
              <a:cs typeface="+mn-cs"/>
            </a:rPr>
            <a:t>VULNERABILITY </a:t>
          </a:r>
        </a:p>
      </dsp:txBody>
      <dsp:txXfrm>
        <a:off x="4848297" y="373262"/>
        <a:ext cx="1264695" cy="49138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2EE9CE-9C0E-42F8-863A-C0B6DBA47726}">
      <dsp:nvSpPr>
        <dsp:cNvPr id="0" name=""/>
        <dsp:cNvSpPr/>
      </dsp:nvSpPr>
      <dsp:spPr>
        <a:xfrm>
          <a:off x="1622420" y="256571"/>
          <a:ext cx="3499846" cy="3499846"/>
        </a:xfrm>
        <a:prstGeom prst="pie">
          <a:avLst>
            <a:gd name="adj1" fmla="val 16200000"/>
            <a:gd name="adj2" fmla="val 0"/>
          </a:avLst>
        </a:prstGeom>
        <a:solidFill>
          <a:srgbClr val="016574">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b="1" kern="1200">
              <a:solidFill>
                <a:srgbClr val="FFFFFF"/>
              </a:solidFill>
              <a:latin typeface="Arial" panose="020B0604020202020204"/>
              <a:ea typeface="+mn-ea"/>
              <a:cs typeface="+mn-cs"/>
            </a:rPr>
            <a:t>Community impact of being flooded </a:t>
          </a:r>
        </a:p>
      </dsp:txBody>
      <dsp:txXfrm>
        <a:off x="3669407" y="1122294"/>
        <a:ext cx="913306" cy="677615"/>
      </dsp:txXfrm>
    </dsp:sp>
    <dsp:sp modelId="{259427B8-8DB9-42FB-BADB-07B3363C7D8A}">
      <dsp:nvSpPr>
        <dsp:cNvPr id="0" name=""/>
        <dsp:cNvSpPr/>
      </dsp:nvSpPr>
      <dsp:spPr>
        <a:xfrm>
          <a:off x="1622420" y="374066"/>
          <a:ext cx="3499846" cy="3499846"/>
        </a:xfrm>
        <a:prstGeom prst="pie">
          <a:avLst>
            <a:gd name="adj1" fmla="val 0"/>
            <a:gd name="adj2" fmla="val 5400000"/>
          </a:avLst>
        </a:prstGeom>
        <a:solidFill>
          <a:srgbClr val="016574">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GB" sz="700" b="1" kern="1200">
            <a:solidFill>
              <a:srgbClr val="FFFFFF"/>
            </a:solidFill>
            <a:latin typeface="Arial" panose="020B0604020202020204"/>
            <a:ea typeface="+mn-ea"/>
            <a:cs typeface="+mn-cs"/>
          </a:endParaRPr>
        </a:p>
        <a:p>
          <a:pPr marL="0" lvl="0" indent="0" algn="ctr" defTabSz="311150">
            <a:lnSpc>
              <a:spcPct val="90000"/>
            </a:lnSpc>
            <a:spcBef>
              <a:spcPct val="0"/>
            </a:spcBef>
            <a:spcAft>
              <a:spcPct val="35000"/>
            </a:spcAft>
            <a:buNone/>
          </a:pPr>
          <a:endParaRPr lang="en-GB" sz="700" b="1" kern="1200">
            <a:solidFill>
              <a:srgbClr val="FFFFFF"/>
            </a:solidFill>
            <a:latin typeface="Arial" panose="020B0604020202020204"/>
            <a:ea typeface="+mn-ea"/>
            <a:cs typeface="+mn-cs"/>
          </a:endParaRPr>
        </a:p>
        <a:p>
          <a:pPr marL="0" lvl="0" indent="0" algn="ctr" defTabSz="311150">
            <a:lnSpc>
              <a:spcPct val="90000"/>
            </a:lnSpc>
            <a:spcBef>
              <a:spcPct val="0"/>
            </a:spcBef>
            <a:spcAft>
              <a:spcPct val="35000"/>
            </a:spcAft>
            <a:buNone/>
          </a:pPr>
          <a:r>
            <a:rPr lang="en-GB" sz="1100" b="1" kern="1200">
              <a:solidFill>
                <a:srgbClr val="FFFFFF"/>
              </a:solidFill>
              <a:latin typeface="Arial" panose="020B0604020202020204"/>
              <a:ea typeface="+mn-ea"/>
              <a:cs typeface="+mn-cs"/>
            </a:rPr>
            <a:t>   Potential</a:t>
          </a:r>
          <a:r>
            <a:rPr lang="en-GB" sz="1100" kern="1200">
              <a:solidFill>
                <a:srgbClr val="FFFFFF"/>
              </a:solidFill>
              <a:latin typeface="Arial" panose="020B0604020202020204"/>
              <a:ea typeface="+mn-ea"/>
              <a:cs typeface="+mn-cs"/>
            </a:rPr>
            <a:t> </a:t>
          </a:r>
          <a:r>
            <a:rPr lang="en-GB" sz="1100" b="1" kern="1200">
              <a:solidFill>
                <a:srgbClr val="FFFFFF"/>
              </a:solidFill>
              <a:latin typeface="Arial" panose="020B0604020202020204"/>
              <a:ea typeface="+mn-ea"/>
              <a:cs typeface="+mn-cs"/>
            </a:rPr>
            <a:t>to adapt to increased flooding in future </a:t>
          </a:r>
        </a:p>
      </dsp:txBody>
      <dsp:txXfrm>
        <a:off x="3669407" y="2330574"/>
        <a:ext cx="913306" cy="677615"/>
      </dsp:txXfrm>
    </dsp:sp>
    <dsp:sp modelId="{3D45E19E-D863-4985-B294-A6C21B998BC2}">
      <dsp:nvSpPr>
        <dsp:cNvPr id="0" name=""/>
        <dsp:cNvSpPr/>
      </dsp:nvSpPr>
      <dsp:spPr>
        <a:xfrm>
          <a:off x="1504925" y="374066"/>
          <a:ext cx="3499846" cy="3499846"/>
        </a:xfrm>
        <a:prstGeom prst="pie">
          <a:avLst>
            <a:gd name="adj1" fmla="val 5400000"/>
            <a:gd name="adj2" fmla="val 10800000"/>
          </a:avLst>
        </a:prstGeom>
        <a:solidFill>
          <a:srgbClr val="016574">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endParaRPr lang="en-GB" sz="800" b="1" kern="1200">
            <a:solidFill>
              <a:srgbClr val="FFFFFF"/>
            </a:solidFill>
            <a:latin typeface="Arial" panose="020B0604020202020204"/>
            <a:ea typeface="+mn-ea"/>
            <a:cs typeface="+mn-cs"/>
          </a:endParaRPr>
        </a:p>
        <a:p>
          <a:pPr marL="0" lvl="0" indent="0" algn="ctr" defTabSz="355600">
            <a:lnSpc>
              <a:spcPct val="90000"/>
            </a:lnSpc>
            <a:spcBef>
              <a:spcPct val="0"/>
            </a:spcBef>
            <a:spcAft>
              <a:spcPct val="35000"/>
            </a:spcAft>
            <a:buNone/>
          </a:pPr>
          <a:endParaRPr lang="en-GB" sz="1100" b="1" kern="1200">
            <a:solidFill>
              <a:srgbClr val="FFFFFF"/>
            </a:solidFill>
            <a:latin typeface="Arial" panose="020B0604020202020204"/>
            <a:ea typeface="+mn-ea"/>
            <a:cs typeface="+mn-cs"/>
          </a:endParaRPr>
        </a:p>
        <a:p>
          <a:pPr marL="0" lvl="0" indent="0" algn="ctr" defTabSz="355600">
            <a:lnSpc>
              <a:spcPct val="90000"/>
            </a:lnSpc>
            <a:spcBef>
              <a:spcPct val="0"/>
            </a:spcBef>
            <a:spcAft>
              <a:spcPct val="35000"/>
            </a:spcAft>
            <a:buNone/>
          </a:pPr>
          <a:r>
            <a:rPr lang="en-GB" sz="1100" b="1" kern="1200">
              <a:solidFill>
                <a:srgbClr val="FFFFFF"/>
              </a:solidFill>
              <a:latin typeface="Arial" panose="020B0604020202020204"/>
              <a:ea typeface="+mn-ea"/>
              <a:cs typeface="+mn-cs"/>
            </a:rPr>
            <a:t>Susceptiblity to be harmed</a:t>
          </a:r>
          <a:r>
            <a:rPr lang="en-GB" sz="1100" kern="1200">
              <a:solidFill>
                <a:srgbClr val="FFFFFF"/>
              </a:solidFill>
              <a:latin typeface="Arial" panose="020B0604020202020204"/>
              <a:ea typeface="+mn-ea"/>
              <a:cs typeface="+mn-cs"/>
            </a:rPr>
            <a:t> </a:t>
          </a:r>
          <a:r>
            <a:rPr lang="en-GB" sz="1100" b="1" kern="1200">
              <a:solidFill>
                <a:srgbClr val="FFFFFF"/>
              </a:solidFill>
              <a:latin typeface="Arial" panose="020B0604020202020204"/>
              <a:ea typeface="+mn-ea"/>
              <a:cs typeface="+mn-cs"/>
            </a:rPr>
            <a:t>by flooding </a:t>
          </a:r>
        </a:p>
      </dsp:txBody>
      <dsp:txXfrm>
        <a:off x="2044479" y="2330574"/>
        <a:ext cx="913306" cy="677615"/>
      </dsp:txXfrm>
    </dsp:sp>
    <dsp:sp modelId="{C5458D2A-B9A9-40D7-9055-03CC7BA43BC0}">
      <dsp:nvSpPr>
        <dsp:cNvPr id="0" name=""/>
        <dsp:cNvSpPr/>
      </dsp:nvSpPr>
      <dsp:spPr>
        <a:xfrm>
          <a:off x="1504925" y="256571"/>
          <a:ext cx="3499846" cy="3499846"/>
        </a:xfrm>
        <a:prstGeom prst="pie">
          <a:avLst>
            <a:gd name="adj1" fmla="val 10800000"/>
            <a:gd name="adj2" fmla="val 16200000"/>
          </a:avLst>
        </a:prstGeom>
        <a:solidFill>
          <a:srgbClr val="016574">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b="1" kern="1200">
              <a:solidFill>
                <a:srgbClr val="FFFFFF"/>
              </a:solidFill>
              <a:latin typeface="Arial" panose="020B0604020202020204"/>
              <a:ea typeface="+mn-ea"/>
              <a:cs typeface="+mn-cs"/>
            </a:rPr>
            <a:t>Resilience to recover from flooding </a:t>
          </a:r>
        </a:p>
      </dsp:txBody>
      <dsp:txXfrm>
        <a:off x="2044479" y="1122294"/>
        <a:ext cx="913306" cy="677615"/>
      </dsp:txXfrm>
    </dsp:sp>
    <dsp:sp modelId="{C7817A92-E8F0-4FDA-AFA2-9C0D83B25BFF}">
      <dsp:nvSpPr>
        <dsp:cNvPr id="0" name=""/>
        <dsp:cNvSpPr/>
      </dsp:nvSpPr>
      <dsp:spPr>
        <a:xfrm>
          <a:off x="1405763" y="39914"/>
          <a:ext cx="3933160" cy="3933160"/>
        </a:xfrm>
        <a:prstGeom prst="circularArrow">
          <a:avLst>
            <a:gd name="adj1" fmla="val 5085"/>
            <a:gd name="adj2" fmla="val 327528"/>
            <a:gd name="adj3" fmla="val 21272472"/>
            <a:gd name="adj4" fmla="val 16200000"/>
            <a:gd name="adj5" fmla="val 5932"/>
          </a:avLst>
        </a:prstGeom>
        <a:solidFill>
          <a:srgbClr val="01657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EE7A0CAB-8325-47C6-93CE-FAC10123B00D}">
      <dsp:nvSpPr>
        <dsp:cNvPr id="0" name=""/>
        <dsp:cNvSpPr/>
      </dsp:nvSpPr>
      <dsp:spPr>
        <a:xfrm>
          <a:off x="1405763" y="157408"/>
          <a:ext cx="3933160" cy="3933160"/>
        </a:xfrm>
        <a:prstGeom prst="circularArrow">
          <a:avLst>
            <a:gd name="adj1" fmla="val 5085"/>
            <a:gd name="adj2" fmla="val 327528"/>
            <a:gd name="adj3" fmla="val 5072472"/>
            <a:gd name="adj4" fmla="val 0"/>
            <a:gd name="adj5" fmla="val 5932"/>
          </a:avLst>
        </a:prstGeom>
        <a:solidFill>
          <a:srgbClr val="01657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705AE7FC-FB2E-45A7-B5BB-D1A5BBD31368}">
      <dsp:nvSpPr>
        <dsp:cNvPr id="0" name=""/>
        <dsp:cNvSpPr/>
      </dsp:nvSpPr>
      <dsp:spPr>
        <a:xfrm>
          <a:off x="1288268" y="157408"/>
          <a:ext cx="3933160" cy="3933160"/>
        </a:xfrm>
        <a:prstGeom prst="circularArrow">
          <a:avLst>
            <a:gd name="adj1" fmla="val 5085"/>
            <a:gd name="adj2" fmla="val 327528"/>
            <a:gd name="adj3" fmla="val 10472472"/>
            <a:gd name="adj4" fmla="val 5400000"/>
            <a:gd name="adj5" fmla="val 5932"/>
          </a:avLst>
        </a:prstGeom>
        <a:solidFill>
          <a:srgbClr val="01657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2545BECA-9389-4CEE-8E14-5DBC9A4D41E0}">
      <dsp:nvSpPr>
        <dsp:cNvPr id="0" name=""/>
        <dsp:cNvSpPr/>
      </dsp:nvSpPr>
      <dsp:spPr>
        <a:xfrm>
          <a:off x="1288268" y="39914"/>
          <a:ext cx="3933160" cy="3933160"/>
        </a:xfrm>
        <a:prstGeom prst="circularArrow">
          <a:avLst>
            <a:gd name="adj1" fmla="val 5085"/>
            <a:gd name="adj2" fmla="val 327528"/>
            <a:gd name="adj3" fmla="val 15872472"/>
            <a:gd name="adj4" fmla="val 10800000"/>
            <a:gd name="adj5" fmla="val 5932"/>
          </a:avLst>
        </a:prstGeom>
        <a:solidFill>
          <a:srgbClr val="01657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405c40cb-c898-4ece-875a-427b4ca2d5db">Draft</Status>
    <link xmlns="405c40cb-c898-4ece-875a-427b4ca2d5db">
      <Url xsi:nil="true"/>
      <Description xsi:nil="true"/>
    </link>
    <lcf76f155ced4ddcb4097134ff3c332f xmlns="405c40cb-c898-4ece-875a-427b4ca2d5db">
      <Terms xmlns="http://schemas.microsoft.com/office/infopath/2007/PartnerControls"/>
    </lcf76f155ced4ddcb4097134ff3c332f>
    <Date xmlns="405c40cb-c898-4ece-875a-427b4ca2d5db" xsi:nil="true"/>
    <TaxCatchAll xmlns="6817a18b-ca13-4b62-8bc4-ed31bbcf9b80" xsi:nil="true"/>
    <SharedWithUsers xmlns="751e3f90-42c0-43e4-89a8-a5b21cfa89f2">
      <UserInfo>
        <DisplayName>Wheeler, Claire</DisplayName>
        <AccountId>158</AccountId>
        <AccountType/>
      </UserInfo>
      <UserInfo>
        <DisplayName>Fotheringham, Elaine</DisplayName>
        <AccountId>325</AccountId>
        <AccountType/>
      </UserInfo>
      <UserInfo>
        <DisplayName>Finlay, Alayne</DisplayName>
        <AccountId>18</AccountId>
        <AccountType/>
      </UserInfo>
      <UserInfo>
        <DisplayName>Gair,Nicholas</DisplayName>
        <AccountId>51</AccountId>
        <AccountType/>
      </UserInfo>
      <UserInfo>
        <DisplayName>Wilson, Laura</DisplayName>
        <AccountId>50</AccountId>
        <AccountType/>
      </UserInfo>
      <UserInfo>
        <DisplayName>Dunn, Nicki</DisplayName>
        <AccountId>902</AccountId>
        <AccountType/>
      </UserInfo>
      <UserInfo>
        <DisplayName>Wilson, Alison</DisplayName>
        <AccountId>517</AccountId>
        <AccountType/>
      </UserInfo>
      <UserInfo>
        <DisplayName>Werritty, Jonathan</DisplayName>
        <AccountId>349</AccountId>
        <AccountType/>
      </UserInfo>
      <UserInfo>
        <DisplayName>Lakeman, Katherine</DisplayName>
        <AccountId>899</AccountId>
        <AccountType/>
      </UserInfo>
      <UserInfo>
        <DisplayName>Candlish, Alex</DisplayName>
        <AccountId>650</AccountId>
        <AccountType/>
      </UserInfo>
      <UserInfo>
        <DisplayName>MacLean, Lorna</DisplayName>
        <AccountId>606</AccountId>
        <AccountType/>
      </UserInfo>
      <UserInfo>
        <DisplayName>Cargill, Alistair</DisplayName>
        <AccountId>163</AccountId>
        <AccountType/>
      </UserInfo>
      <UserInfo>
        <DisplayName>Taylor, Jessica</DisplayName>
        <AccountId>348</AccountId>
        <AccountType/>
      </UserInfo>
      <UserInfo>
        <DisplayName>Pritchett, Clare</DisplayName>
        <AccountId>1596</AccountId>
        <AccountType/>
      </UserInfo>
      <UserInfo>
        <DisplayName>Lock, Gillian</DisplayName>
        <AccountId>4490</AccountId>
        <AccountType/>
      </UserInfo>
    </SharedWithUsers>
    <_Flow_SignoffStatus xmlns="405c40cb-c898-4ece-875a-427b4ca2d5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29CD207AC07040AEB8151736D7F759" ma:contentTypeVersion="23" ma:contentTypeDescription="Create a new document." ma:contentTypeScope="" ma:versionID="fb5ec1745dab5126b58a7b55dc1ac335">
  <xsd:schema xmlns:xsd="http://www.w3.org/2001/XMLSchema" xmlns:xs="http://www.w3.org/2001/XMLSchema" xmlns:p="http://schemas.microsoft.com/office/2006/metadata/properties" xmlns:ns2="405c40cb-c898-4ece-875a-427b4ca2d5db" xmlns:ns3="751e3f90-42c0-43e4-89a8-a5b21cfa89f2" xmlns:ns4="6817a18b-ca13-4b62-8bc4-ed31bbcf9b80" targetNamespace="http://schemas.microsoft.com/office/2006/metadata/properties" ma:root="true" ma:fieldsID="82cf33bf7378a0f7b6f5135e7985ba1b" ns2:_="" ns3:_="" ns4:_="">
    <xsd:import namespace="405c40cb-c898-4ece-875a-427b4ca2d5db"/>
    <xsd:import namespace="751e3f90-42c0-43e4-89a8-a5b21cfa89f2"/>
    <xsd:import namespace="6817a18b-ca13-4b62-8bc4-ed31bbcf9b80"/>
    <xsd:element name="properties">
      <xsd:complexType>
        <xsd:sequence>
          <xsd:element name="documentManagement">
            <xsd:complexType>
              <xsd:all>
                <xsd:element ref="ns2: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Date" minOccurs="0"/>
                <xsd:element ref="ns2:lcf76f155ced4ddcb4097134ff3c332f" minOccurs="0"/>
                <xsd:element ref="ns4:TaxCatchAll" minOccurs="0"/>
                <xsd:element ref="ns2:link"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c40cb-c898-4ece-875a-427b4ca2d5db" elementFormDefault="qualified">
    <xsd:import namespace="http://schemas.microsoft.com/office/2006/documentManagement/types"/>
    <xsd:import namespace="http://schemas.microsoft.com/office/infopath/2007/PartnerControls"/>
    <xsd:element name="Status" ma:index="2" nillable="true" ma:displayName="Status" ma:default="Draft" ma:description="Document status" ma:internalName="Status" ma:readOnly="false">
      <xsd:simpleType>
        <xsd:restriction base="dms:Unknown">
          <xsd:enumeration value="Draft"/>
          <xsd:enumeration value="Final"/>
          <xsd:enumeration value="Old version"/>
          <xsd:enumeration value="Obsolet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hidden="true" ma:internalName="MediaLengthInSeconds" ma:readOnly="true">
      <xsd:simpleType>
        <xsd:restriction base="dms:Unknown"/>
      </xsd:simpleType>
    </xsd:element>
    <xsd:element name="MediaServiceOCR" ma:index="19" nillable="true" ma:displayName="Extracted Text" ma:hidden="true" ma:internalName="MediaServiceOCR" ma:readOnly="true">
      <xsd:simpleType>
        <xsd:restriction base="dms:Note"/>
      </xsd:simpleType>
    </xsd:element>
    <xsd:element name="MediaServiceLocation" ma:index="21" nillable="true" ma:displayName="Location" ma:internalName="MediaServiceLocation" ma:readOnly="true">
      <xsd:simpleType>
        <xsd:restriction base="dms:Text"/>
      </xsd:simpleType>
    </xsd:element>
    <xsd:element name="Date" ma:index="22" nillable="true" ma:displayName="Date" ma:description="email date" ma:format="DateOnly" ma:internalName="Dat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link" ma:index="2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1e3f90-42c0-43e4-89a8-a5b21cfa89f2"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7a18b-ca13-4b62-8bc4-ed31bbcf9b80"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68f6e8c-896f-458c-a44f-dc27b8a577fe}" ma:internalName="TaxCatchAll" ma:showField="CatchAllData" ma:web="751e3f90-42c0-43e4-89a8-a5b21cfa8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25E0B4-9D89-46F8-BF4D-5CC17E8D76A5}">
  <ds:schemaRefs>
    <ds:schemaRef ds:uri="http://schemas.microsoft.com/office/2006/metadata/properties"/>
    <ds:schemaRef ds:uri="http://schemas.microsoft.com/office/infopath/2007/PartnerControls"/>
    <ds:schemaRef ds:uri="405c40cb-c898-4ece-875a-427b4ca2d5db"/>
    <ds:schemaRef ds:uri="6817a18b-ca13-4b62-8bc4-ed31bbcf9b80"/>
    <ds:schemaRef ds:uri="751e3f90-42c0-43e4-89a8-a5b21cfa89f2"/>
  </ds:schemaRefs>
</ds:datastoreItem>
</file>

<file path=customXml/itemProps2.xml><?xml version="1.0" encoding="utf-8"?>
<ds:datastoreItem xmlns:ds="http://schemas.openxmlformats.org/officeDocument/2006/customXml" ds:itemID="{412494F3-82F6-45DD-BB3B-802AA374E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c40cb-c898-4ece-875a-427b4ca2d5db"/>
    <ds:schemaRef ds:uri="751e3f90-42c0-43e4-89a8-a5b21cfa89f2"/>
    <ds:schemaRef ds:uri="6817a18b-ca13-4b62-8bc4-ed31bbcf9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91B92EA1-8AFD-479A-BDF0-9C1391D1F5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SEPA_word_template_built_environment_cover</Template>
  <TotalTime>0</TotalTime>
  <Pages>7</Pages>
  <Words>1532</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dc:creator>
  <cp:keywords/>
  <dc:description/>
  <cp:lastModifiedBy>Wallace, Fionna</cp:lastModifiedBy>
  <cp:revision>2</cp:revision>
  <cp:lastPrinted>2023-03-24T11:44:00Z</cp:lastPrinted>
  <dcterms:created xsi:type="dcterms:W3CDTF">2025-03-25T16:30:00Z</dcterms:created>
  <dcterms:modified xsi:type="dcterms:W3CDTF">2025-03-25T16:30:00Z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2023-07-28T11:35:19Z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97b0411b-5f58-4329-99aa-d3fe3123beda</vt:lpwstr>
  </property>
  <property fmtid="{D5CDD505-2E9C-101B-9397-08002B2CF9AE}" pid="14" name="MSIP_Label_ea4fd52f-9814-4cae-aa53-0ea7b16cd381_ContentBits">
    <vt:lpwstr>3</vt:lpwstr>
  </property>
  <property fmtid="{D5CDD505-2E9C-101B-9397-08002B2CF9AE}" pid="15" name="ContentTypeId">
    <vt:lpwstr>0x0101009529CD207AC07040AEB8151736D7F759</vt:lpwstr>
  </property>
  <property fmtid="{D5CDD505-2E9C-101B-9397-08002B2CF9AE}" pid="16" name="MediaServiceImageTags">
    <vt:lpwstr/>
  </property>
</Properties>
</file>