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1A30171C" w14:textId="77777777" w:rsidR="004073BC" w:rsidRDefault="00F72274" w:rsidP="00587EA6">
          <w:pPr>
            <w:pStyle w:val="Heading1"/>
          </w:pPr>
          <w:r>
            <w:rPr>
              <w:noProof/>
            </w:rPr>
            <w:drawing>
              <wp:anchor distT="0" distB="0" distL="114300" distR="114300" simplePos="0" relativeHeight="251658240" behindDoc="1" locked="0" layoutInCell="1" allowOverlap="1" wp14:anchorId="49414B77" wp14:editId="68F8ED2B">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30AF7BC4" wp14:editId="572BCC51">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1F34059" w14:textId="77777777" w:rsidR="004073BC" w:rsidRDefault="004073BC" w:rsidP="008C1A73"/>
        <w:p w14:paraId="2BF8727F" w14:textId="77777777" w:rsidR="004073BC" w:rsidRDefault="004073BC" w:rsidP="008C1A73"/>
        <w:p w14:paraId="754D35A5" w14:textId="77777777" w:rsidR="004073BC" w:rsidRDefault="004073BC" w:rsidP="008C1A73"/>
        <w:p w14:paraId="2E0FEE08" w14:textId="77777777" w:rsidR="004073BC" w:rsidRDefault="004073BC" w:rsidP="008C1A73"/>
        <w:p w14:paraId="342B82BF" w14:textId="77777777" w:rsidR="004073BC" w:rsidRDefault="004073BC" w:rsidP="008C1A73"/>
        <w:p w14:paraId="0443AB10" w14:textId="77777777" w:rsidR="00281BB1" w:rsidRDefault="00281BB1" w:rsidP="00281BB1">
          <w:pPr>
            <w:rPr>
              <w:b/>
              <w:bCs/>
              <w:color w:val="FFFFFF" w:themeColor="background1"/>
              <w:sz w:val="84"/>
              <w:szCs w:val="84"/>
            </w:rPr>
          </w:pPr>
        </w:p>
        <w:p w14:paraId="330637D7" w14:textId="66EB96B6" w:rsidR="00801105" w:rsidRDefault="00543861" w:rsidP="004133B7">
          <w:pPr>
            <w:spacing w:line="240" w:lineRule="auto"/>
            <w:rPr>
              <w:b/>
              <w:bCs/>
              <w:color w:val="FFFFFF" w:themeColor="background1"/>
              <w:sz w:val="84"/>
              <w:szCs w:val="84"/>
            </w:rPr>
          </w:pPr>
          <w:r>
            <w:rPr>
              <w:b/>
              <w:bCs/>
              <w:color w:val="FFFFFF" w:themeColor="background1"/>
              <w:sz w:val="84"/>
              <w:szCs w:val="84"/>
            </w:rPr>
            <w:t>Guidance on Assessing the Impacts of Development on Groundwater Abstractions</w:t>
          </w:r>
        </w:p>
        <w:p w14:paraId="50AB37C9" w14:textId="77777777" w:rsidR="009266E6" w:rsidRDefault="009266E6" w:rsidP="004133B7">
          <w:pPr>
            <w:spacing w:line="240" w:lineRule="auto"/>
            <w:rPr>
              <w:b/>
              <w:bCs/>
              <w:color w:val="FFFFFF" w:themeColor="background1"/>
              <w:sz w:val="84"/>
              <w:szCs w:val="84"/>
            </w:rPr>
          </w:pPr>
        </w:p>
        <w:p w14:paraId="24B98D08" w14:textId="77777777" w:rsidR="009266E6" w:rsidRDefault="009266E6" w:rsidP="004133B7">
          <w:pPr>
            <w:spacing w:line="240" w:lineRule="auto"/>
            <w:rPr>
              <w:b/>
              <w:bCs/>
              <w:color w:val="FFFFFF" w:themeColor="background1"/>
              <w:sz w:val="84"/>
              <w:szCs w:val="84"/>
            </w:rPr>
          </w:pPr>
        </w:p>
        <w:p w14:paraId="07A706A9" w14:textId="77777777" w:rsidR="009266E6" w:rsidRDefault="009266E6" w:rsidP="004133B7">
          <w:pPr>
            <w:spacing w:line="240" w:lineRule="auto"/>
            <w:rPr>
              <w:b/>
              <w:bCs/>
              <w:color w:val="FFFFFF" w:themeColor="background1"/>
              <w:sz w:val="84"/>
              <w:szCs w:val="84"/>
            </w:rPr>
          </w:pPr>
        </w:p>
        <w:p w14:paraId="6AB306D1" w14:textId="77777777" w:rsidR="009266E6" w:rsidRDefault="009266E6" w:rsidP="004133B7">
          <w:pPr>
            <w:spacing w:line="240" w:lineRule="auto"/>
            <w:rPr>
              <w:b/>
              <w:bCs/>
              <w:color w:val="FFFFFF" w:themeColor="background1"/>
            </w:rPr>
          </w:pPr>
        </w:p>
        <w:p w14:paraId="79342C08" w14:textId="77777777" w:rsidR="009266E6" w:rsidRDefault="009266E6" w:rsidP="004133B7">
          <w:pPr>
            <w:spacing w:line="240" w:lineRule="auto"/>
            <w:rPr>
              <w:b/>
              <w:bCs/>
              <w:color w:val="FFFFFF" w:themeColor="background1"/>
            </w:rPr>
          </w:pPr>
        </w:p>
        <w:p w14:paraId="0D18B8AE" w14:textId="77777777" w:rsidR="009266E6" w:rsidRDefault="009266E6" w:rsidP="004133B7">
          <w:pPr>
            <w:spacing w:line="240" w:lineRule="auto"/>
            <w:rPr>
              <w:b/>
              <w:bCs/>
              <w:color w:val="FFFFFF" w:themeColor="background1"/>
            </w:rPr>
          </w:pPr>
        </w:p>
        <w:p w14:paraId="086EC84C" w14:textId="77777777" w:rsidR="009266E6" w:rsidRDefault="009266E6" w:rsidP="004133B7">
          <w:pPr>
            <w:spacing w:line="240" w:lineRule="auto"/>
            <w:rPr>
              <w:b/>
              <w:bCs/>
              <w:color w:val="FFFFFF" w:themeColor="background1"/>
            </w:rPr>
          </w:pPr>
        </w:p>
        <w:p w14:paraId="25FA6AE2" w14:textId="440E0B30" w:rsidR="009266E6" w:rsidRPr="009266E6" w:rsidRDefault="009266E6" w:rsidP="004133B7">
          <w:pPr>
            <w:spacing w:line="240" w:lineRule="auto"/>
            <w:rPr>
              <w:b/>
              <w:bCs/>
              <w:color w:val="FFFFFF" w:themeColor="background1"/>
            </w:rPr>
          </w:pPr>
          <w:r>
            <w:rPr>
              <w:b/>
              <w:bCs/>
              <w:color w:val="FFFFFF" w:themeColor="background1"/>
            </w:rPr>
            <w:t>August 2024</w:t>
          </w:r>
        </w:p>
        <w:p w14:paraId="0923066B" w14:textId="2B3F1597" w:rsidR="00684F5A" w:rsidRPr="00933241" w:rsidRDefault="008C1A73" w:rsidP="006F6242">
          <w:r>
            <w:br w:type="page"/>
          </w:r>
        </w:p>
      </w:sdtContent>
    </w:sdt>
    <w:p w14:paraId="0FFE7766" w14:textId="53A2C6D2" w:rsidR="00E97EAE" w:rsidRDefault="00E97EAE" w:rsidP="00DE78E4">
      <w:pPr>
        <w:pStyle w:val="Heading1"/>
        <w:rPr>
          <w:rFonts w:eastAsia="Arial"/>
        </w:rPr>
      </w:pPr>
      <w:r w:rsidRPr="31B67BBD">
        <w:rPr>
          <w:rFonts w:eastAsia="Arial"/>
        </w:rPr>
        <w:lastRenderedPageBreak/>
        <w:t>Guidance on Assessing the Impacts of Developments on Groundwater Abstractions</w:t>
      </w:r>
    </w:p>
    <w:p w14:paraId="2069D71E" w14:textId="77777777" w:rsidR="00E97EAE" w:rsidRPr="00E97EAE" w:rsidRDefault="00E97EAE" w:rsidP="00E97EAE">
      <w:pPr>
        <w:rPr>
          <w:rFonts w:ascii="Arial" w:eastAsia="Arial" w:hAnsi="Arial" w:cs="Arial"/>
          <w:b/>
          <w:bCs/>
        </w:rPr>
      </w:pPr>
    </w:p>
    <w:p w14:paraId="38F63AA8" w14:textId="0483880E" w:rsidR="00543861" w:rsidRDefault="00543861" w:rsidP="00DE78E4">
      <w:pPr>
        <w:pStyle w:val="Heading2"/>
        <w:rPr>
          <w:rFonts w:eastAsia="Times New Roman"/>
        </w:rPr>
      </w:pPr>
      <w:r w:rsidRPr="5C2A1D54">
        <w:rPr>
          <w:rFonts w:eastAsia="Times New Roman"/>
        </w:rPr>
        <w:t>Introduction</w:t>
      </w:r>
    </w:p>
    <w:p w14:paraId="6CC6066F" w14:textId="0CF54DE7" w:rsidR="00543861" w:rsidRPr="00543861" w:rsidRDefault="00543861" w:rsidP="00543861">
      <w:pPr>
        <w:pStyle w:val="BodyText1"/>
        <w:rPr>
          <w:rFonts w:eastAsia="Times New Roman"/>
        </w:rPr>
      </w:pPr>
      <w:r w:rsidRPr="00543861">
        <w:rPr>
          <w:rFonts w:eastAsia="Times New Roman"/>
        </w:rPr>
        <w:t>This guidance sets out SEPA’s expectations for the assessment of impact of developments on groundwater abstractions, both public and private water supplies. This guidance applies to all developments requiring an Environmental Impact Assessment (EIA) provided any temporary or permanent dewatering abstractions are unlikely to exceed 10 m</w:t>
      </w:r>
      <w:r w:rsidRPr="00543861">
        <w:rPr>
          <w:rFonts w:eastAsia="Times New Roman"/>
          <w:vertAlign w:val="superscript"/>
        </w:rPr>
        <w:t>3</w:t>
      </w:r>
      <w:r w:rsidRPr="00543861">
        <w:rPr>
          <w:rFonts w:eastAsia="Times New Roman"/>
        </w:rPr>
        <w:t>/day</w:t>
      </w:r>
      <w:r w:rsidRPr="00543861">
        <w:rPr>
          <w:rFonts w:eastAsia="Times New Roman"/>
          <w:vertAlign w:val="superscript"/>
        </w:rPr>
        <w:t>1</w:t>
      </w:r>
      <w:r w:rsidRPr="00543861">
        <w:rPr>
          <w:rFonts w:eastAsia="Times New Roman"/>
        </w:rPr>
        <w:t>. It is intended for developers and Local Authorities, and Determining Authorities.   </w:t>
      </w:r>
    </w:p>
    <w:p w14:paraId="03F1B69B" w14:textId="77777777" w:rsidR="00543861" w:rsidRPr="00543861" w:rsidRDefault="00543861" w:rsidP="00543861">
      <w:pPr>
        <w:pStyle w:val="BodyText1"/>
        <w:rPr>
          <w:rFonts w:eastAsia="Times New Roman"/>
        </w:rPr>
      </w:pPr>
      <w:r w:rsidRPr="00543861">
        <w:rPr>
          <w:rFonts w:eastAsia="Times New Roman"/>
        </w:rPr>
        <w:t>SEPA expect developments and infrastructure to be designed and constructed such that the water environment, including groundwater abstractions, are protected. The applicant should seek to avoid adverse impacts on groundwater abstractions through the detailed design of the development and by implementing best practice construction techniques. The potential for impacts will vary depending on the scale and location of the development as well as on the proximity of the groundwater abstraction.  SEPA does not offer guidance on the detailed design of infrastructure or prescribe a specific method or technique for construction as environmental conditions and engineering constraints will be site-specific and construction techniques will require a tailored approach to negate risks to identified sensitive receptors.  </w:t>
      </w:r>
    </w:p>
    <w:p w14:paraId="6AF70989" w14:textId="77777777" w:rsidR="00543861" w:rsidRPr="00543861" w:rsidRDefault="00543861" w:rsidP="00543861">
      <w:pPr>
        <w:pStyle w:val="BodyText1"/>
        <w:rPr>
          <w:rFonts w:eastAsia="Times New Roman"/>
        </w:rPr>
      </w:pPr>
      <w:r w:rsidRPr="00543861">
        <w:rPr>
          <w:rFonts w:eastAsia="Times New Roman"/>
        </w:rPr>
        <w:t>Dewatering or drainage may change the quantity of groundwater supplying abstractions. Discharges to ground may change the quality of groundwater. These activities are controlled via The Water Environment (Controlled Activities) (Scotland) Regulations 2011 (CAR) as amended. See the CAR Practical Guide for further information.  </w:t>
      </w:r>
    </w:p>
    <w:p w14:paraId="2235B393" w14:textId="77777777" w:rsidR="00543861" w:rsidRDefault="00543861" w:rsidP="00543861">
      <w:pPr>
        <w:pStyle w:val="BodyText1"/>
        <w:rPr>
          <w:rFonts w:eastAsia="Times New Roman"/>
        </w:rPr>
      </w:pPr>
      <w:r w:rsidRPr="00543861">
        <w:rPr>
          <w:rFonts w:eastAsia="Times New Roman"/>
        </w:rPr>
        <w:t>Note also this guidance does not cover assessment of impacts to existing surface water abstractions or impoundments.  </w:t>
      </w:r>
    </w:p>
    <w:p w14:paraId="0AF7577C" w14:textId="77777777" w:rsidR="005034D9" w:rsidRPr="00543861" w:rsidRDefault="005034D9" w:rsidP="005034D9">
      <w:pPr>
        <w:pStyle w:val="BodyText1"/>
        <w:rPr>
          <w:rFonts w:eastAsia="Times New Roman"/>
        </w:rPr>
      </w:pPr>
      <w:r w:rsidRPr="00543861">
        <w:rPr>
          <w:rFonts w:eastAsia="Times New Roman"/>
          <w:b/>
          <w:bCs/>
        </w:rPr>
        <w:t>SEPA will not provide comment on potential impacts to private water supplies unless the assessment has progressed to Step 3 (Detailed quantitative risk assessment).  </w:t>
      </w:r>
      <w:r w:rsidRPr="00543861">
        <w:rPr>
          <w:rFonts w:eastAsia="Times New Roman"/>
        </w:rPr>
        <w:t> </w:t>
      </w:r>
    </w:p>
    <w:p w14:paraId="71921D45" w14:textId="77777777" w:rsidR="006F6242" w:rsidRDefault="006F6242" w:rsidP="006F6242">
      <w:pPr>
        <w:rPr>
          <w:rFonts w:ascii="Arial" w:hAnsi="Arial" w:cs="Arial"/>
        </w:rPr>
      </w:pPr>
      <w:r w:rsidRPr="00B40B12">
        <w:rPr>
          <w:rFonts w:ascii="Arial" w:hAnsi="Arial" w:cs="Arial"/>
        </w:rPr>
        <w:t xml:space="preserve">The matrix below </w:t>
      </w:r>
      <w:r>
        <w:rPr>
          <w:rFonts w:ascii="Arial" w:hAnsi="Arial" w:cs="Arial"/>
        </w:rPr>
        <w:t>shows</w:t>
      </w:r>
      <w:r w:rsidRPr="00B40B12">
        <w:rPr>
          <w:rFonts w:ascii="Arial" w:hAnsi="Arial" w:cs="Arial"/>
        </w:rPr>
        <w:t xml:space="preserve"> how both </w:t>
      </w:r>
      <w:r>
        <w:rPr>
          <w:rFonts w:ascii="Arial" w:hAnsi="Arial" w:cs="Arial"/>
        </w:rPr>
        <w:t xml:space="preserve">the scale of the </w:t>
      </w:r>
      <w:r w:rsidRPr="00B40B12">
        <w:rPr>
          <w:rFonts w:ascii="Arial" w:hAnsi="Arial" w:cs="Arial"/>
        </w:rPr>
        <w:t xml:space="preserve">effects and </w:t>
      </w:r>
      <w:r>
        <w:rPr>
          <w:rFonts w:ascii="Arial" w:hAnsi="Arial" w:cs="Arial"/>
        </w:rPr>
        <w:t xml:space="preserve">the </w:t>
      </w:r>
      <w:r w:rsidRPr="00B40B12">
        <w:rPr>
          <w:rFonts w:ascii="Arial" w:hAnsi="Arial" w:cs="Arial"/>
        </w:rPr>
        <w:t>importance</w:t>
      </w:r>
      <w:r>
        <w:rPr>
          <w:rFonts w:ascii="Arial" w:hAnsi="Arial" w:cs="Arial"/>
        </w:rPr>
        <w:t xml:space="preserve"> of the abstraction</w:t>
      </w:r>
      <w:r w:rsidRPr="00B40B12">
        <w:rPr>
          <w:rFonts w:ascii="Arial" w:hAnsi="Arial" w:cs="Arial"/>
        </w:rPr>
        <w:t xml:space="preserve"> </w:t>
      </w:r>
      <w:r>
        <w:rPr>
          <w:rFonts w:ascii="Arial" w:hAnsi="Arial" w:cs="Arial"/>
        </w:rPr>
        <w:t>must be</w:t>
      </w:r>
      <w:r w:rsidRPr="00B40B12">
        <w:rPr>
          <w:rFonts w:ascii="Arial" w:hAnsi="Arial" w:cs="Arial"/>
        </w:rPr>
        <w:t xml:space="preserve"> considered when assessing potential impacts.</w:t>
      </w:r>
    </w:p>
    <w:p w14:paraId="13D0B4A6" w14:textId="77777777" w:rsidR="00E83DF0" w:rsidRDefault="00E83DF0" w:rsidP="006F6242">
      <w:pPr>
        <w:rPr>
          <w:rFonts w:ascii="Arial" w:hAnsi="Arial" w:cs="Arial"/>
        </w:rPr>
      </w:pPr>
    </w:p>
    <w:tbl>
      <w:tblPr>
        <w:tblW w:w="5000" w:type="pct"/>
        <w:tblLayout w:type="fixed"/>
        <w:tblCellMar>
          <w:left w:w="0" w:type="dxa"/>
          <w:right w:w="0" w:type="dxa"/>
        </w:tblCellMar>
        <w:tblLook w:val="04A0" w:firstRow="1" w:lastRow="0" w:firstColumn="1" w:lastColumn="0" w:noHBand="0" w:noVBand="1"/>
        <w:tblCaption w:val="Table x: xxxx"/>
        <w:tblDescription w:val="Add alt text"/>
      </w:tblPr>
      <w:tblGrid>
        <w:gridCol w:w="1434"/>
        <w:gridCol w:w="1767"/>
        <w:gridCol w:w="1922"/>
        <w:gridCol w:w="1922"/>
        <w:gridCol w:w="1922"/>
        <w:gridCol w:w="1190"/>
        <w:gridCol w:w="45"/>
      </w:tblGrid>
      <w:tr w:rsidR="00DC77FE" w:rsidRPr="00850B76" w14:paraId="7A4D9D73" w14:textId="77777777" w:rsidTr="00CA2377">
        <w:trPr>
          <w:trHeight w:val="637"/>
          <w:tblHeader/>
        </w:trPr>
        <w:tc>
          <w:tcPr>
            <w:tcW w:w="4978" w:type="pct"/>
            <w:gridSpan w:val="6"/>
            <w:tcBorders>
              <w:top w:val="single" w:sz="8" w:space="0" w:color="auto"/>
              <w:left w:val="single" w:sz="8" w:space="0" w:color="auto"/>
              <w:bottom w:val="single" w:sz="8" w:space="0" w:color="auto"/>
              <w:right w:val="single" w:sz="8" w:space="0" w:color="auto"/>
            </w:tcBorders>
            <w:shd w:val="clear" w:color="auto" w:fill="016574"/>
          </w:tcPr>
          <w:p w14:paraId="51EC4A8C" w14:textId="77777777" w:rsidR="00DC77FE" w:rsidRDefault="00DC77FE" w:rsidP="00CA2377">
            <w:pPr>
              <w:jc w:val="center"/>
              <w:rPr>
                <w:b/>
                <w:bCs/>
              </w:rPr>
            </w:pPr>
            <w:bookmarkStart w:id="0" w:name="_Hlk175734290"/>
            <w:r>
              <w:rPr>
                <w:b/>
                <w:bCs/>
              </w:rPr>
              <w:lastRenderedPageBreak/>
              <w:t>How much is it affected</w:t>
            </w:r>
          </w:p>
        </w:tc>
        <w:tc>
          <w:tcPr>
            <w:tcW w:w="22" w:type="pct"/>
            <w:tcBorders>
              <w:top w:val="single" w:sz="8" w:space="0" w:color="auto"/>
              <w:left w:val="nil"/>
              <w:bottom w:val="single" w:sz="8" w:space="0" w:color="auto"/>
              <w:right w:val="single" w:sz="8" w:space="0" w:color="auto"/>
            </w:tcBorders>
            <w:shd w:val="clear" w:color="auto" w:fill="016574"/>
          </w:tcPr>
          <w:p w14:paraId="70F4CC46" w14:textId="77777777" w:rsidR="00DC77FE" w:rsidRDefault="00DC77FE" w:rsidP="00CA2377">
            <w:pPr>
              <w:rPr>
                <w:b/>
                <w:bCs/>
              </w:rPr>
            </w:pPr>
          </w:p>
        </w:tc>
      </w:tr>
      <w:tr w:rsidR="00DC77FE" w:rsidRPr="00850B76" w14:paraId="7F43BD8A" w14:textId="77777777" w:rsidTr="00CA2377">
        <w:trPr>
          <w:trHeight w:val="637"/>
          <w:tblHeader/>
        </w:trPr>
        <w:tc>
          <w:tcPr>
            <w:tcW w:w="703" w:type="pct"/>
            <w:tcBorders>
              <w:top w:val="single" w:sz="8" w:space="0" w:color="auto"/>
              <w:left w:val="single" w:sz="8" w:space="0" w:color="auto"/>
              <w:bottom w:val="single" w:sz="8" w:space="0" w:color="auto"/>
              <w:right w:val="single" w:sz="8" w:space="0" w:color="auto"/>
            </w:tcBorders>
            <w:shd w:val="clear" w:color="auto" w:fill="016574"/>
          </w:tcPr>
          <w:p w14:paraId="0E9E4715" w14:textId="77777777" w:rsidR="00DC77FE" w:rsidRPr="00850B76" w:rsidRDefault="00DC77FE" w:rsidP="00CA2377">
            <w:pPr>
              <w:rPr>
                <w:b/>
                <w:bCs/>
              </w:rPr>
            </w:pPr>
          </w:p>
        </w:tc>
        <w:tc>
          <w:tcPr>
            <w:tcW w:w="8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69199F4F" w14:textId="77777777" w:rsidR="00DC77FE" w:rsidRPr="00850B76" w:rsidRDefault="00DC77FE" w:rsidP="00CA2377">
            <w:pPr>
              <w:rPr>
                <w:b/>
                <w:bCs/>
              </w:rPr>
            </w:pPr>
          </w:p>
        </w:tc>
        <w:tc>
          <w:tcPr>
            <w:tcW w:w="94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70179C3" w14:textId="77777777" w:rsidR="00DC77FE" w:rsidRPr="00850B76" w:rsidRDefault="00DC77FE" w:rsidP="00CA2377">
            <w:pPr>
              <w:rPr>
                <w:b/>
                <w:bCs/>
              </w:rPr>
            </w:pPr>
            <w:r>
              <w:rPr>
                <w:b/>
                <w:bCs/>
              </w:rPr>
              <w:t>Substantially</w:t>
            </w:r>
          </w:p>
        </w:tc>
        <w:tc>
          <w:tcPr>
            <w:tcW w:w="94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EA8DC12" w14:textId="77777777" w:rsidR="00DC77FE" w:rsidRPr="00850B76" w:rsidRDefault="00DC77FE" w:rsidP="00CA2377">
            <w:pPr>
              <w:rPr>
                <w:b/>
                <w:bCs/>
              </w:rPr>
            </w:pPr>
            <w:r>
              <w:rPr>
                <w:b/>
                <w:bCs/>
              </w:rPr>
              <w:t>Moderately</w:t>
            </w:r>
          </w:p>
        </w:tc>
        <w:tc>
          <w:tcPr>
            <w:tcW w:w="94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F0F7B27" w14:textId="77777777" w:rsidR="00DC77FE" w:rsidRPr="00850B76" w:rsidRDefault="00DC77FE" w:rsidP="00CA2377">
            <w:pPr>
              <w:rPr>
                <w:b/>
                <w:bCs/>
              </w:rPr>
            </w:pPr>
            <w:r>
              <w:rPr>
                <w:b/>
                <w:bCs/>
              </w:rPr>
              <w:t>Slightly</w:t>
            </w:r>
          </w:p>
        </w:tc>
        <w:tc>
          <w:tcPr>
            <w:tcW w:w="583" w:type="pct"/>
            <w:tcBorders>
              <w:top w:val="single" w:sz="8" w:space="0" w:color="auto"/>
              <w:left w:val="nil"/>
              <w:bottom w:val="single" w:sz="8" w:space="0" w:color="auto"/>
              <w:right w:val="nil"/>
            </w:tcBorders>
            <w:shd w:val="clear" w:color="auto" w:fill="016574"/>
            <w:vAlign w:val="center"/>
          </w:tcPr>
          <w:p w14:paraId="2FF44E20" w14:textId="77777777" w:rsidR="00DC77FE" w:rsidRDefault="00DC77FE" w:rsidP="00CA2377">
            <w:pPr>
              <w:rPr>
                <w:b/>
                <w:bCs/>
              </w:rPr>
            </w:pPr>
            <w:r>
              <w:rPr>
                <w:b/>
                <w:bCs/>
              </w:rPr>
              <w:t>Negligibly or</w:t>
            </w:r>
          </w:p>
          <w:p w14:paraId="4A65FBFD" w14:textId="77777777" w:rsidR="00DC77FE" w:rsidRDefault="00DC77FE" w:rsidP="00CA2377">
            <w:pPr>
              <w:rPr>
                <w:b/>
                <w:bCs/>
              </w:rPr>
            </w:pPr>
            <w:r>
              <w:rPr>
                <w:b/>
                <w:bCs/>
              </w:rPr>
              <w:t xml:space="preserve"> not at all</w:t>
            </w:r>
          </w:p>
        </w:tc>
        <w:tc>
          <w:tcPr>
            <w:tcW w:w="22" w:type="pct"/>
            <w:tcBorders>
              <w:top w:val="single" w:sz="8" w:space="0" w:color="auto"/>
              <w:left w:val="nil"/>
              <w:bottom w:val="single" w:sz="8" w:space="0" w:color="auto"/>
              <w:right w:val="single" w:sz="8" w:space="0" w:color="auto"/>
            </w:tcBorders>
            <w:shd w:val="clear" w:color="auto" w:fill="016574"/>
          </w:tcPr>
          <w:p w14:paraId="4580F4FF" w14:textId="77777777" w:rsidR="00DC77FE" w:rsidRDefault="00DC77FE" w:rsidP="00CA2377">
            <w:pPr>
              <w:rPr>
                <w:b/>
                <w:bCs/>
              </w:rPr>
            </w:pPr>
          </w:p>
        </w:tc>
      </w:tr>
      <w:tr w:rsidR="00DC77FE" w:rsidRPr="00850B76" w14:paraId="0A0736B3" w14:textId="77777777" w:rsidTr="00CA2377">
        <w:trPr>
          <w:trHeight w:val="329"/>
        </w:trPr>
        <w:tc>
          <w:tcPr>
            <w:tcW w:w="703" w:type="pct"/>
            <w:vMerge w:val="restart"/>
            <w:tcBorders>
              <w:top w:val="nil"/>
              <w:left w:val="single" w:sz="8" w:space="0" w:color="A6A6A6"/>
              <w:right w:val="single" w:sz="8" w:space="0" w:color="A6A6A6"/>
            </w:tcBorders>
            <w:vAlign w:val="center"/>
          </w:tcPr>
          <w:p w14:paraId="64CB4E58" w14:textId="77777777" w:rsidR="00DC77FE" w:rsidRPr="004E30F2" w:rsidRDefault="00DC77FE" w:rsidP="00CA2377">
            <w:pPr>
              <w:rPr>
                <w:b/>
                <w:bCs/>
              </w:rPr>
            </w:pPr>
            <w:r>
              <w:rPr>
                <w:b/>
                <w:bCs/>
              </w:rPr>
              <w:t>How Important is it</w:t>
            </w:r>
          </w:p>
        </w:tc>
        <w:tc>
          <w:tcPr>
            <w:tcW w:w="8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6895F82" w14:textId="77777777" w:rsidR="00DC77FE" w:rsidRDefault="00DC77FE" w:rsidP="00CA2377">
            <w:pPr>
              <w:rPr>
                <w:b/>
                <w:bCs/>
              </w:rPr>
            </w:pPr>
            <w:r w:rsidRPr="004E30F2">
              <w:rPr>
                <w:b/>
                <w:bCs/>
              </w:rPr>
              <w:t>High/</w:t>
            </w:r>
          </w:p>
          <w:p w14:paraId="3F21DA64" w14:textId="77777777" w:rsidR="00DC77FE" w:rsidRPr="00850B76" w:rsidRDefault="00DC77FE" w:rsidP="00CA2377">
            <w:pPr>
              <w:rPr>
                <w:b/>
                <w:bCs/>
              </w:rPr>
            </w:pPr>
            <w:r w:rsidRPr="004E30F2">
              <w:rPr>
                <w:b/>
                <w:bCs/>
              </w:rPr>
              <w:t>Important</w:t>
            </w:r>
          </w:p>
        </w:tc>
        <w:tc>
          <w:tcPr>
            <w:tcW w:w="94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0C3F1D7" w14:textId="77777777" w:rsidR="00DC77FE" w:rsidRPr="00850B76" w:rsidRDefault="00DC77FE" w:rsidP="00CA2377">
            <w:r>
              <w:t>Major</w:t>
            </w:r>
          </w:p>
        </w:tc>
        <w:tc>
          <w:tcPr>
            <w:tcW w:w="94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82191D5" w14:textId="77777777" w:rsidR="00DC77FE" w:rsidRPr="00850B76" w:rsidRDefault="00DC77FE" w:rsidP="00CA2377">
            <w:r>
              <w:t xml:space="preserve">Major </w:t>
            </w:r>
          </w:p>
        </w:tc>
        <w:tc>
          <w:tcPr>
            <w:tcW w:w="94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AE47238" w14:textId="77777777" w:rsidR="00DC77FE" w:rsidRPr="00850B76" w:rsidRDefault="00DC77FE" w:rsidP="00CA2377">
            <w:r>
              <w:t xml:space="preserve">Medium </w:t>
            </w:r>
          </w:p>
        </w:tc>
        <w:tc>
          <w:tcPr>
            <w:tcW w:w="583" w:type="pct"/>
            <w:tcBorders>
              <w:top w:val="nil"/>
              <w:left w:val="nil"/>
              <w:bottom w:val="single" w:sz="8" w:space="0" w:color="A6A6A6"/>
              <w:right w:val="nil"/>
            </w:tcBorders>
            <w:vAlign w:val="center"/>
          </w:tcPr>
          <w:p w14:paraId="38FEA004" w14:textId="77777777" w:rsidR="00DC77FE" w:rsidRPr="00850B76" w:rsidRDefault="00DC77FE" w:rsidP="00CA2377">
            <w:r>
              <w:t>Negligible/no effect</w:t>
            </w:r>
          </w:p>
        </w:tc>
        <w:tc>
          <w:tcPr>
            <w:tcW w:w="22" w:type="pct"/>
            <w:tcBorders>
              <w:top w:val="nil"/>
              <w:left w:val="nil"/>
              <w:bottom w:val="single" w:sz="8" w:space="0" w:color="A6A6A6"/>
              <w:right w:val="single" w:sz="8" w:space="0" w:color="A6A6A6"/>
            </w:tcBorders>
          </w:tcPr>
          <w:p w14:paraId="1B4D92D8" w14:textId="77777777" w:rsidR="00DC77FE" w:rsidRPr="00850B76" w:rsidRDefault="00DC77FE" w:rsidP="00CA2377"/>
        </w:tc>
      </w:tr>
      <w:tr w:rsidR="00DC77FE" w:rsidRPr="00850B76" w14:paraId="3AC5FD85" w14:textId="77777777" w:rsidTr="00CA2377">
        <w:trPr>
          <w:trHeight w:val="313"/>
        </w:trPr>
        <w:tc>
          <w:tcPr>
            <w:tcW w:w="703" w:type="pct"/>
            <w:vMerge/>
            <w:tcBorders>
              <w:left w:val="single" w:sz="8" w:space="0" w:color="A6A6A6"/>
              <w:right w:val="single" w:sz="8" w:space="0" w:color="A6A6A6"/>
            </w:tcBorders>
          </w:tcPr>
          <w:p w14:paraId="51CA166A" w14:textId="77777777" w:rsidR="00DC77FE" w:rsidRPr="004E30F2" w:rsidRDefault="00DC77FE" w:rsidP="00CA2377">
            <w:pPr>
              <w:rPr>
                <w:b/>
                <w:bCs/>
              </w:rPr>
            </w:pPr>
          </w:p>
        </w:tc>
        <w:tc>
          <w:tcPr>
            <w:tcW w:w="8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0CAD2D9" w14:textId="77777777" w:rsidR="00DC77FE" w:rsidRPr="00850B76" w:rsidRDefault="00DC77FE" w:rsidP="00CA2377">
            <w:pPr>
              <w:rPr>
                <w:b/>
                <w:bCs/>
              </w:rPr>
            </w:pPr>
            <w:r w:rsidRPr="004E30F2">
              <w:rPr>
                <w:b/>
                <w:bCs/>
              </w:rPr>
              <w:t>Moderately Important</w:t>
            </w:r>
          </w:p>
        </w:tc>
        <w:tc>
          <w:tcPr>
            <w:tcW w:w="94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007AFB8" w14:textId="77777777" w:rsidR="00DC77FE" w:rsidRPr="00850B76" w:rsidRDefault="00DC77FE" w:rsidP="00CA2377">
            <w:r>
              <w:t>Major</w:t>
            </w:r>
          </w:p>
        </w:tc>
        <w:tc>
          <w:tcPr>
            <w:tcW w:w="94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1ECD401" w14:textId="77777777" w:rsidR="00DC77FE" w:rsidRPr="00850B76" w:rsidRDefault="00DC77FE" w:rsidP="00CA2377">
            <w:r>
              <w:t>Medium</w:t>
            </w:r>
          </w:p>
        </w:tc>
        <w:tc>
          <w:tcPr>
            <w:tcW w:w="94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58DD9A5" w14:textId="77777777" w:rsidR="00DC77FE" w:rsidRPr="00850B76" w:rsidRDefault="00DC77FE" w:rsidP="00CA2377">
            <w:r>
              <w:t>Low</w:t>
            </w:r>
          </w:p>
        </w:tc>
        <w:tc>
          <w:tcPr>
            <w:tcW w:w="583" w:type="pct"/>
            <w:tcBorders>
              <w:top w:val="nil"/>
              <w:left w:val="nil"/>
              <w:bottom w:val="single" w:sz="8" w:space="0" w:color="A6A6A6"/>
              <w:right w:val="nil"/>
            </w:tcBorders>
            <w:vAlign w:val="center"/>
          </w:tcPr>
          <w:p w14:paraId="6DE35A04" w14:textId="77777777" w:rsidR="00DC77FE" w:rsidRPr="00850B76" w:rsidRDefault="00DC77FE" w:rsidP="00CA2377">
            <w:r>
              <w:t>Negligible/no effect</w:t>
            </w:r>
          </w:p>
        </w:tc>
        <w:tc>
          <w:tcPr>
            <w:tcW w:w="22" w:type="pct"/>
            <w:tcBorders>
              <w:top w:val="nil"/>
              <w:left w:val="nil"/>
              <w:bottom w:val="single" w:sz="8" w:space="0" w:color="A6A6A6"/>
              <w:right w:val="single" w:sz="8" w:space="0" w:color="A6A6A6"/>
            </w:tcBorders>
          </w:tcPr>
          <w:p w14:paraId="46014BCE" w14:textId="77777777" w:rsidR="00DC77FE" w:rsidRPr="00850B76" w:rsidRDefault="00DC77FE" w:rsidP="00CA2377"/>
        </w:tc>
      </w:tr>
      <w:tr w:rsidR="00DC77FE" w:rsidRPr="00850B76" w14:paraId="67FB6453" w14:textId="77777777" w:rsidTr="00CA2377">
        <w:trPr>
          <w:trHeight w:val="313"/>
        </w:trPr>
        <w:tc>
          <w:tcPr>
            <w:tcW w:w="703" w:type="pct"/>
            <w:vMerge/>
            <w:tcBorders>
              <w:left w:val="single" w:sz="8" w:space="0" w:color="A6A6A6"/>
              <w:right w:val="single" w:sz="8" w:space="0" w:color="A6A6A6"/>
            </w:tcBorders>
          </w:tcPr>
          <w:p w14:paraId="589BAF6E" w14:textId="77777777" w:rsidR="00DC77FE" w:rsidRPr="004E30F2" w:rsidRDefault="00DC77FE" w:rsidP="00CA2377">
            <w:pPr>
              <w:rPr>
                <w:b/>
                <w:bCs/>
              </w:rPr>
            </w:pPr>
          </w:p>
        </w:tc>
        <w:tc>
          <w:tcPr>
            <w:tcW w:w="8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7A6002D" w14:textId="77777777" w:rsidR="00DC77FE" w:rsidRPr="00850B76" w:rsidRDefault="00DC77FE" w:rsidP="00CA2377">
            <w:pPr>
              <w:rPr>
                <w:b/>
                <w:bCs/>
              </w:rPr>
            </w:pPr>
            <w:r w:rsidRPr="004E30F2">
              <w:rPr>
                <w:b/>
                <w:bCs/>
              </w:rPr>
              <w:t>Low Importance</w:t>
            </w:r>
          </w:p>
        </w:tc>
        <w:tc>
          <w:tcPr>
            <w:tcW w:w="94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661A9CB" w14:textId="77777777" w:rsidR="00DC77FE" w:rsidRPr="00850B76" w:rsidRDefault="00DC77FE" w:rsidP="00CA2377">
            <w:r>
              <w:t xml:space="preserve">Medium </w:t>
            </w:r>
          </w:p>
        </w:tc>
        <w:tc>
          <w:tcPr>
            <w:tcW w:w="94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BBBBCB8" w14:textId="77777777" w:rsidR="00DC77FE" w:rsidRPr="00850B76" w:rsidRDefault="00DC77FE" w:rsidP="00CA2377">
            <w:r>
              <w:t>Low</w:t>
            </w:r>
          </w:p>
        </w:tc>
        <w:tc>
          <w:tcPr>
            <w:tcW w:w="94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C43AEDD" w14:textId="77777777" w:rsidR="00DC77FE" w:rsidRPr="00850B76" w:rsidRDefault="00DC77FE" w:rsidP="00CA2377">
            <w:r>
              <w:t>Low</w:t>
            </w:r>
          </w:p>
        </w:tc>
        <w:tc>
          <w:tcPr>
            <w:tcW w:w="583" w:type="pct"/>
            <w:tcBorders>
              <w:top w:val="nil"/>
              <w:left w:val="nil"/>
              <w:bottom w:val="single" w:sz="8" w:space="0" w:color="A6A6A6"/>
              <w:right w:val="nil"/>
            </w:tcBorders>
            <w:vAlign w:val="center"/>
          </w:tcPr>
          <w:p w14:paraId="4B985430" w14:textId="77777777" w:rsidR="00DC77FE" w:rsidRPr="00850B76" w:rsidRDefault="00DC77FE" w:rsidP="00CA2377">
            <w:r>
              <w:t>Negligible/no effect</w:t>
            </w:r>
          </w:p>
        </w:tc>
        <w:tc>
          <w:tcPr>
            <w:tcW w:w="22" w:type="pct"/>
            <w:tcBorders>
              <w:top w:val="nil"/>
              <w:left w:val="nil"/>
              <w:bottom w:val="single" w:sz="8" w:space="0" w:color="A6A6A6"/>
              <w:right w:val="single" w:sz="8" w:space="0" w:color="A6A6A6"/>
            </w:tcBorders>
          </w:tcPr>
          <w:p w14:paraId="2DE291AD" w14:textId="77777777" w:rsidR="00DC77FE" w:rsidRPr="00850B76" w:rsidRDefault="00DC77FE" w:rsidP="00CA2377"/>
        </w:tc>
      </w:tr>
      <w:tr w:rsidR="00DC77FE" w:rsidRPr="00850B76" w14:paraId="029701A3" w14:textId="77777777" w:rsidTr="00CA2377">
        <w:trPr>
          <w:trHeight w:val="313"/>
        </w:trPr>
        <w:tc>
          <w:tcPr>
            <w:tcW w:w="703" w:type="pct"/>
            <w:vMerge/>
            <w:tcBorders>
              <w:left w:val="single" w:sz="8" w:space="0" w:color="A6A6A6"/>
              <w:bottom w:val="single" w:sz="8" w:space="0" w:color="A6A6A6"/>
              <w:right w:val="single" w:sz="8" w:space="0" w:color="A6A6A6"/>
            </w:tcBorders>
          </w:tcPr>
          <w:p w14:paraId="3244B31F" w14:textId="77777777" w:rsidR="00DC77FE" w:rsidRPr="004E30F2" w:rsidRDefault="00DC77FE" w:rsidP="00CA2377">
            <w:pPr>
              <w:rPr>
                <w:b/>
                <w:bCs/>
              </w:rPr>
            </w:pPr>
          </w:p>
        </w:tc>
        <w:tc>
          <w:tcPr>
            <w:tcW w:w="8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098867B" w14:textId="77777777" w:rsidR="00DC77FE" w:rsidRPr="00850B76" w:rsidRDefault="00DC77FE" w:rsidP="00CA2377">
            <w:pPr>
              <w:rPr>
                <w:b/>
                <w:bCs/>
              </w:rPr>
            </w:pPr>
            <w:r w:rsidRPr="004E30F2">
              <w:rPr>
                <w:b/>
                <w:bCs/>
              </w:rPr>
              <w:t>Unimportant</w:t>
            </w:r>
          </w:p>
        </w:tc>
        <w:tc>
          <w:tcPr>
            <w:tcW w:w="94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66BC478" w14:textId="77777777" w:rsidR="00DC77FE" w:rsidRPr="00850B76" w:rsidRDefault="00DC77FE" w:rsidP="00CA2377">
            <w:r>
              <w:t>Unimportant effect</w:t>
            </w:r>
          </w:p>
        </w:tc>
        <w:tc>
          <w:tcPr>
            <w:tcW w:w="94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F5D1ABE" w14:textId="77777777" w:rsidR="00DC77FE" w:rsidRPr="00850B76" w:rsidRDefault="00DC77FE" w:rsidP="00CA2377">
            <w:r>
              <w:t>Unimportant effect</w:t>
            </w:r>
          </w:p>
        </w:tc>
        <w:tc>
          <w:tcPr>
            <w:tcW w:w="94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1D7BB20" w14:textId="77777777" w:rsidR="00DC77FE" w:rsidRPr="00850B76" w:rsidRDefault="00DC77FE" w:rsidP="00CA2377">
            <w:r>
              <w:t>Unimportant effect</w:t>
            </w:r>
          </w:p>
        </w:tc>
        <w:tc>
          <w:tcPr>
            <w:tcW w:w="583" w:type="pct"/>
            <w:tcBorders>
              <w:top w:val="nil"/>
              <w:left w:val="nil"/>
              <w:bottom w:val="single" w:sz="8" w:space="0" w:color="A6A6A6"/>
              <w:right w:val="nil"/>
            </w:tcBorders>
            <w:vAlign w:val="center"/>
          </w:tcPr>
          <w:p w14:paraId="6C3274C4" w14:textId="77777777" w:rsidR="00DC77FE" w:rsidRPr="00850B76" w:rsidRDefault="00DC77FE" w:rsidP="00CA2377">
            <w:r>
              <w:t>Negligible/no effect</w:t>
            </w:r>
          </w:p>
        </w:tc>
        <w:tc>
          <w:tcPr>
            <w:tcW w:w="22" w:type="pct"/>
            <w:tcBorders>
              <w:top w:val="nil"/>
              <w:left w:val="nil"/>
              <w:bottom w:val="single" w:sz="8" w:space="0" w:color="A6A6A6"/>
              <w:right w:val="single" w:sz="8" w:space="0" w:color="A6A6A6"/>
            </w:tcBorders>
          </w:tcPr>
          <w:p w14:paraId="66B6819B" w14:textId="77777777" w:rsidR="00DC77FE" w:rsidRPr="00850B76" w:rsidRDefault="00DC77FE" w:rsidP="00CA2377"/>
        </w:tc>
      </w:tr>
      <w:bookmarkEnd w:id="0"/>
    </w:tbl>
    <w:p w14:paraId="5C0422C3" w14:textId="77777777" w:rsidR="00543861" w:rsidRDefault="00543861" w:rsidP="00543861">
      <w:pPr>
        <w:pStyle w:val="BodyText1"/>
        <w:rPr>
          <w:rFonts w:eastAsia="Times New Roman"/>
        </w:rPr>
      </w:pPr>
    </w:p>
    <w:p w14:paraId="101BB7C0" w14:textId="77777777" w:rsidR="006F6242" w:rsidRDefault="006F6242" w:rsidP="006F6242">
      <w:pPr>
        <w:rPr>
          <w:rFonts w:ascii="Arial" w:hAnsi="Arial" w:cs="Arial"/>
        </w:rPr>
      </w:pPr>
      <w:r>
        <w:rPr>
          <w:rFonts w:ascii="Arial" w:hAnsi="Arial" w:cs="Arial"/>
        </w:rPr>
        <w:t>Factors recommended to be considered when assessing potential effects include:</w:t>
      </w:r>
    </w:p>
    <w:p w14:paraId="12650BFB" w14:textId="77777777" w:rsidR="006F6242" w:rsidRDefault="006F6242" w:rsidP="006F6242">
      <w:pPr>
        <w:pStyle w:val="ListParagraph"/>
        <w:numPr>
          <w:ilvl w:val="0"/>
          <w:numId w:val="21"/>
        </w:numPr>
        <w:spacing w:line="360" w:lineRule="auto"/>
        <w:ind w:left="714" w:hanging="357"/>
        <w:contextualSpacing w:val="0"/>
        <w:rPr>
          <w:rFonts w:ascii="Arial" w:hAnsi="Arial" w:cs="Arial"/>
          <w:sz w:val="24"/>
          <w:szCs w:val="24"/>
        </w:rPr>
      </w:pPr>
      <w:r>
        <w:rPr>
          <w:rFonts w:ascii="Arial" w:hAnsi="Arial" w:cs="Arial"/>
          <w:sz w:val="24"/>
          <w:szCs w:val="24"/>
        </w:rPr>
        <w:t xml:space="preserve">Extent </w:t>
      </w:r>
    </w:p>
    <w:p w14:paraId="49895DBF" w14:textId="77777777" w:rsidR="006F6242" w:rsidRDefault="006F6242" w:rsidP="006F6242">
      <w:pPr>
        <w:pStyle w:val="ListParagraph"/>
        <w:numPr>
          <w:ilvl w:val="0"/>
          <w:numId w:val="21"/>
        </w:numPr>
        <w:spacing w:line="360" w:lineRule="auto"/>
        <w:ind w:left="714" w:hanging="357"/>
        <w:contextualSpacing w:val="0"/>
        <w:rPr>
          <w:rFonts w:ascii="Arial" w:hAnsi="Arial" w:cs="Arial"/>
          <w:sz w:val="24"/>
          <w:szCs w:val="24"/>
        </w:rPr>
      </w:pPr>
      <w:r>
        <w:rPr>
          <w:rFonts w:ascii="Arial" w:hAnsi="Arial" w:cs="Arial"/>
          <w:sz w:val="24"/>
          <w:szCs w:val="24"/>
        </w:rPr>
        <w:t xml:space="preserve">Magnitude </w:t>
      </w:r>
    </w:p>
    <w:p w14:paraId="35DE3FC1" w14:textId="77777777" w:rsidR="006F6242" w:rsidRDefault="006F6242" w:rsidP="006F6242">
      <w:pPr>
        <w:pStyle w:val="ListParagraph"/>
        <w:numPr>
          <w:ilvl w:val="0"/>
          <w:numId w:val="21"/>
        </w:numPr>
        <w:spacing w:line="360" w:lineRule="auto"/>
        <w:ind w:left="714" w:hanging="357"/>
        <w:contextualSpacing w:val="0"/>
        <w:rPr>
          <w:rFonts w:ascii="Arial" w:hAnsi="Arial" w:cs="Arial"/>
          <w:sz w:val="24"/>
          <w:szCs w:val="24"/>
        </w:rPr>
      </w:pPr>
      <w:r>
        <w:rPr>
          <w:rFonts w:ascii="Arial" w:hAnsi="Arial" w:cs="Arial"/>
          <w:sz w:val="24"/>
          <w:szCs w:val="24"/>
        </w:rPr>
        <w:t xml:space="preserve">Duration, frequency, and reversibility </w:t>
      </w:r>
    </w:p>
    <w:p w14:paraId="2A40A103" w14:textId="77777777" w:rsidR="006F6242" w:rsidRDefault="006F6242" w:rsidP="006F6242">
      <w:pPr>
        <w:pStyle w:val="ListParagraph"/>
        <w:numPr>
          <w:ilvl w:val="0"/>
          <w:numId w:val="21"/>
        </w:numPr>
        <w:spacing w:line="360" w:lineRule="auto"/>
        <w:ind w:left="714" w:hanging="357"/>
        <w:contextualSpacing w:val="0"/>
        <w:rPr>
          <w:rFonts w:ascii="Arial" w:hAnsi="Arial" w:cs="Arial"/>
          <w:sz w:val="24"/>
          <w:szCs w:val="24"/>
        </w:rPr>
      </w:pPr>
      <w:r>
        <w:rPr>
          <w:rFonts w:ascii="Arial" w:hAnsi="Arial" w:cs="Arial"/>
          <w:sz w:val="24"/>
          <w:szCs w:val="24"/>
        </w:rPr>
        <w:t>Likelihood</w:t>
      </w:r>
    </w:p>
    <w:p w14:paraId="0C6DB806" w14:textId="77777777" w:rsidR="006F6242" w:rsidRPr="00B40B12" w:rsidRDefault="006F6242" w:rsidP="006F6242">
      <w:pPr>
        <w:pStyle w:val="ListParagraph"/>
        <w:numPr>
          <w:ilvl w:val="0"/>
          <w:numId w:val="21"/>
        </w:numPr>
        <w:spacing w:line="360" w:lineRule="auto"/>
        <w:rPr>
          <w:rFonts w:ascii="Arial" w:hAnsi="Arial" w:cs="Arial"/>
          <w:sz w:val="24"/>
          <w:szCs w:val="24"/>
        </w:rPr>
      </w:pPr>
      <w:r>
        <w:rPr>
          <w:rFonts w:ascii="Arial" w:hAnsi="Arial" w:cs="Arial"/>
          <w:sz w:val="24"/>
          <w:szCs w:val="24"/>
        </w:rPr>
        <w:t>Cumulative effects, including both impact interactions and additive impacts and considering both intra- and inter-project effects.</w:t>
      </w:r>
    </w:p>
    <w:p w14:paraId="6839800A" w14:textId="77777777" w:rsidR="006F6242" w:rsidRDefault="006F6242" w:rsidP="006F6242">
      <w:pPr>
        <w:rPr>
          <w:rFonts w:ascii="Arial" w:hAnsi="Arial" w:cs="Arial"/>
        </w:rPr>
      </w:pPr>
      <w:r>
        <w:rPr>
          <w:rFonts w:ascii="Arial" w:hAnsi="Arial" w:cs="Arial"/>
        </w:rPr>
        <w:t xml:space="preserve">When assessing potential importance of groundwater abstractions, </w:t>
      </w:r>
      <w:r w:rsidRPr="002867C5">
        <w:rPr>
          <w:rFonts w:ascii="Arial" w:hAnsi="Arial" w:cs="Arial"/>
        </w:rPr>
        <w:t xml:space="preserve">SEPA </w:t>
      </w:r>
      <w:r>
        <w:rPr>
          <w:rFonts w:ascii="Arial" w:hAnsi="Arial" w:cs="Arial"/>
        </w:rPr>
        <w:t>suggest:</w:t>
      </w:r>
    </w:p>
    <w:p w14:paraId="00F1F2E0" w14:textId="77777777" w:rsidR="006F6242" w:rsidRDefault="006F6242" w:rsidP="006F6242">
      <w:pPr>
        <w:pStyle w:val="ListParagraph"/>
        <w:numPr>
          <w:ilvl w:val="0"/>
          <w:numId w:val="22"/>
        </w:numPr>
        <w:spacing w:line="360" w:lineRule="auto"/>
        <w:ind w:left="714" w:hanging="357"/>
        <w:contextualSpacing w:val="0"/>
        <w:rPr>
          <w:rFonts w:ascii="Arial" w:hAnsi="Arial" w:cs="Arial"/>
          <w:sz w:val="24"/>
          <w:szCs w:val="24"/>
        </w:rPr>
      </w:pPr>
      <w:r w:rsidRPr="00781936">
        <w:rPr>
          <w:rFonts w:ascii="Arial" w:hAnsi="Arial" w:cs="Arial"/>
          <w:sz w:val="24"/>
          <w:szCs w:val="24"/>
        </w:rPr>
        <w:t>Scottish Water abstractions are assessed as being of High importance</w:t>
      </w:r>
      <w:r>
        <w:rPr>
          <w:rFonts w:ascii="Arial" w:hAnsi="Arial" w:cs="Arial"/>
          <w:sz w:val="24"/>
          <w:szCs w:val="24"/>
        </w:rPr>
        <w:t xml:space="preserve"> </w:t>
      </w:r>
    </w:p>
    <w:p w14:paraId="5CFF3CC9" w14:textId="77777777" w:rsidR="006F6242" w:rsidRDefault="006F6242" w:rsidP="006F6242">
      <w:pPr>
        <w:pStyle w:val="ListParagraph"/>
        <w:numPr>
          <w:ilvl w:val="0"/>
          <w:numId w:val="22"/>
        </w:numPr>
        <w:spacing w:line="360" w:lineRule="auto"/>
        <w:ind w:left="714" w:hanging="357"/>
        <w:contextualSpacing w:val="0"/>
        <w:rPr>
          <w:rFonts w:ascii="Arial" w:hAnsi="Arial" w:cs="Arial"/>
          <w:sz w:val="24"/>
          <w:szCs w:val="24"/>
        </w:rPr>
      </w:pPr>
      <w:r>
        <w:rPr>
          <w:rFonts w:ascii="Arial" w:hAnsi="Arial" w:cs="Arial"/>
          <w:sz w:val="24"/>
          <w:szCs w:val="24"/>
        </w:rPr>
        <w:t xml:space="preserve">Private water abstractions for human consumption </w:t>
      </w:r>
      <w:r w:rsidRPr="00426AD1">
        <w:rPr>
          <w:rFonts w:ascii="Arial" w:hAnsi="Arial" w:cs="Arial"/>
          <w:sz w:val="24"/>
          <w:szCs w:val="24"/>
        </w:rPr>
        <w:t>are likely to be of Moderate importance</w:t>
      </w:r>
    </w:p>
    <w:p w14:paraId="46CBDAD0" w14:textId="77777777" w:rsidR="006F6242" w:rsidRPr="00781936" w:rsidRDefault="006F6242" w:rsidP="006F6242">
      <w:pPr>
        <w:pStyle w:val="ListParagraph"/>
        <w:numPr>
          <w:ilvl w:val="0"/>
          <w:numId w:val="22"/>
        </w:numPr>
        <w:spacing w:line="360" w:lineRule="auto"/>
        <w:rPr>
          <w:rFonts w:ascii="Arial" w:hAnsi="Arial" w:cs="Arial"/>
          <w:sz w:val="24"/>
          <w:szCs w:val="24"/>
        </w:rPr>
      </w:pPr>
      <w:r>
        <w:rPr>
          <w:rFonts w:ascii="Arial" w:hAnsi="Arial" w:cs="Arial"/>
          <w:sz w:val="24"/>
          <w:szCs w:val="24"/>
        </w:rPr>
        <w:t>Other n</w:t>
      </w:r>
      <w:r w:rsidRPr="00426AD1">
        <w:rPr>
          <w:rFonts w:ascii="Arial" w:hAnsi="Arial" w:cs="Arial"/>
          <w:sz w:val="24"/>
          <w:szCs w:val="24"/>
        </w:rPr>
        <w:t xml:space="preserve">on-potable abstractions </w:t>
      </w:r>
      <w:r>
        <w:rPr>
          <w:rFonts w:ascii="Arial" w:hAnsi="Arial" w:cs="Arial"/>
          <w:sz w:val="24"/>
          <w:szCs w:val="24"/>
        </w:rPr>
        <w:t>are</w:t>
      </w:r>
      <w:r w:rsidRPr="00426AD1">
        <w:rPr>
          <w:rFonts w:ascii="Arial" w:hAnsi="Arial" w:cs="Arial"/>
          <w:sz w:val="24"/>
          <w:szCs w:val="24"/>
        </w:rPr>
        <w:t xml:space="preserve"> likely to be Low to Moderate</w:t>
      </w:r>
      <w:r>
        <w:rPr>
          <w:rFonts w:ascii="Arial" w:hAnsi="Arial" w:cs="Arial"/>
          <w:sz w:val="24"/>
          <w:szCs w:val="24"/>
        </w:rPr>
        <w:t xml:space="preserve"> importance</w:t>
      </w:r>
      <w:r w:rsidRPr="00426AD1">
        <w:rPr>
          <w:rFonts w:ascii="Arial" w:hAnsi="Arial" w:cs="Arial"/>
          <w:sz w:val="24"/>
          <w:szCs w:val="24"/>
        </w:rPr>
        <w:t>, depending on the purpose of the abstraction</w:t>
      </w:r>
      <w:r>
        <w:rPr>
          <w:rFonts w:ascii="Arial" w:hAnsi="Arial" w:cs="Arial"/>
          <w:sz w:val="24"/>
          <w:szCs w:val="24"/>
        </w:rPr>
        <w:t>.</w:t>
      </w:r>
    </w:p>
    <w:p w14:paraId="217E94B5" w14:textId="77777777" w:rsidR="006F6242" w:rsidRDefault="006F6242" w:rsidP="00543861">
      <w:pPr>
        <w:pStyle w:val="BodyText1"/>
        <w:rPr>
          <w:rFonts w:eastAsia="Times New Roman"/>
        </w:rPr>
      </w:pPr>
    </w:p>
    <w:p w14:paraId="187F4BBB" w14:textId="77777777" w:rsidR="00E97EAE" w:rsidRPr="00781936" w:rsidRDefault="00E97EAE" w:rsidP="00DE78E4">
      <w:pPr>
        <w:pStyle w:val="Heading2"/>
        <w:rPr>
          <w:rFonts w:eastAsia="Arial"/>
        </w:rPr>
      </w:pPr>
      <w:r w:rsidRPr="31B67BBD">
        <w:rPr>
          <w:rFonts w:eastAsia="Arial"/>
        </w:rPr>
        <w:lastRenderedPageBreak/>
        <w:t>Roles &amp; Responsibilities</w:t>
      </w:r>
    </w:p>
    <w:p w14:paraId="668902D3" w14:textId="77777777" w:rsidR="00E97EAE" w:rsidRDefault="00E97EAE" w:rsidP="00D419B6">
      <w:pPr>
        <w:rPr>
          <w:rFonts w:ascii="Arial" w:eastAsia="Arial" w:hAnsi="Arial" w:cs="Arial"/>
        </w:rPr>
      </w:pPr>
      <w:r w:rsidRPr="31B67BBD">
        <w:rPr>
          <w:rFonts w:ascii="Arial" w:eastAsia="Arial" w:hAnsi="Arial" w:cs="Arial"/>
        </w:rPr>
        <w:t xml:space="preserve">Developers are responsible for obtaining the relevant information required to support the impact assessment and for designing and undertaking the site works in accordance with the relevant regulations and published guidance. </w:t>
      </w:r>
    </w:p>
    <w:p w14:paraId="6DE4D17D" w14:textId="77777777" w:rsidR="008163E0" w:rsidRDefault="008163E0" w:rsidP="00D419B6">
      <w:pPr>
        <w:rPr>
          <w:rFonts w:ascii="Arial" w:eastAsia="Arial" w:hAnsi="Arial" w:cs="Arial"/>
        </w:rPr>
      </w:pPr>
    </w:p>
    <w:p w14:paraId="313E33D7" w14:textId="77777777" w:rsidR="00E97EAE" w:rsidRDefault="00E97EAE" w:rsidP="00D419B6">
      <w:pPr>
        <w:rPr>
          <w:rFonts w:ascii="Arial" w:eastAsia="Arial" w:hAnsi="Arial" w:cs="Arial"/>
        </w:rPr>
      </w:pPr>
      <w:r w:rsidRPr="31B67BBD">
        <w:rPr>
          <w:rFonts w:ascii="Arial" w:eastAsia="Arial" w:hAnsi="Arial" w:cs="Arial"/>
        </w:rPr>
        <w:t xml:space="preserve">Owners/operators of existing groundwater abstractions are responsible for compliance with the relevant regulations regarding abstraction and water supply and for maintaining their abstraction infrastructure. See the SEPA guidance on good practice for water abstraction boreholes </w:t>
      </w:r>
      <w:hyperlink r:id="rId13">
        <w:r w:rsidRPr="31B67BBD">
          <w:rPr>
            <w:rStyle w:val="Hyperlink"/>
            <w:rFonts w:ascii="Arial" w:eastAsia="Arial" w:hAnsi="Arial" w:cs="Arial"/>
          </w:rPr>
          <w:t>An applicant’s guide to water supply boreholes (sepa.org.uk)</w:t>
        </w:r>
      </w:hyperlink>
      <w:r w:rsidRPr="31B67BBD">
        <w:rPr>
          <w:rFonts w:ascii="Arial" w:eastAsia="Arial" w:hAnsi="Arial" w:cs="Arial"/>
        </w:rPr>
        <w:t>.</w:t>
      </w:r>
    </w:p>
    <w:p w14:paraId="4E600371" w14:textId="77777777" w:rsidR="008163E0" w:rsidRDefault="008163E0" w:rsidP="00D419B6">
      <w:pPr>
        <w:rPr>
          <w:rFonts w:ascii="Arial" w:eastAsia="Arial" w:hAnsi="Arial" w:cs="Arial"/>
        </w:rPr>
      </w:pPr>
    </w:p>
    <w:p w14:paraId="3A579B1E" w14:textId="77777777" w:rsidR="00E97EAE" w:rsidRDefault="00E97EAE" w:rsidP="00D419B6">
      <w:pPr>
        <w:rPr>
          <w:rFonts w:ascii="Arial" w:eastAsia="Arial" w:hAnsi="Arial" w:cs="Arial"/>
        </w:rPr>
      </w:pPr>
      <w:r w:rsidRPr="31B67BBD">
        <w:rPr>
          <w:rFonts w:ascii="Arial" w:eastAsia="Arial" w:hAnsi="Arial" w:cs="Arial"/>
        </w:rPr>
        <w:t>The Determining Authority may be the Planning Authority or relevant Scottish Government departments (e.g. Energy Consents Unit) depending on the nature of the development.</w:t>
      </w:r>
    </w:p>
    <w:p w14:paraId="4DE6A9D6" w14:textId="77777777" w:rsidR="00E97EAE" w:rsidRDefault="00E97EAE" w:rsidP="00D419B6">
      <w:pPr>
        <w:rPr>
          <w:rFonts w:ascii="Arial" w:eastAsia="Arial" w:hAnsi="Arial" w:cs="Arial"/>
        </w:rPr>
      </w:pPr>
      <w:r w:rsidRPr="31B67BBD">
        <w:rPr>
          <w:rFonts w:ascii="Arial" w:eastAsia="Arial" w:hAnsi="Arial" w:cs="Arial"/>
        </w:rPr>
        <w:t>Planning Authorities are required to exercise their functions to secure compliance with the Water Framework Directive and the Groundwater Directive as now applicable to Scotland. This includes functions under the Town and Country Planning (Scotland) Act 1997. This requirement is set out in the Water Environment and Water Services (Scotland) Act 2003 and The Water Environment (Relevant Enactments and Designation of Responsible Authorities and Functions) (Scotland) Order 2011.</w:t>
      </w:r>
    </w:p>
    <w:p w14:paraId="09108217" w14:textId="77777777" w:rsidR="008163E0" w:rsidRDefault="008163E0" w:rsidP="00D419B6">
      <w:pPr>
        <w:rPr>
          <w:rFonts w:ascii="Arial" w:eastAsia="Arial" w:hAnsi="Arial" w:cs="Arial"/>
        </w:rPr>
      </w:pPr>
    </w:p>
    <w:p w14:paraId="250E4BB6" w14:textId="77777777" w:rsidR="00E97EAE" w:rsidRDefault="00E97EAE" w:rsidP="00D419B6">
      <w:pPr>
        <w:rPr>
          <w:rFonts w:ascii="Arial" w:eastAsia="Arial" w:hAnsi="Arial" w:cs="Arial"/>
        </w:rPr>
      </w:pPr>
      <w:r w:rsidRPr="31B67BBD">
        <w:rPr>
          <w:rFonts w:ascii="Arial" w:eastAsia="Arial" w:hAnsi="Arial" w:cs="Arial"/>
        </w:rPr>
        <w:t xml:space="preserve">Scottish Water are responsible for provision of public water supplies. </w:t>
      </w:r>
    </w:p>
    <w:p w14:paraId="307B5E35" w14:textId="77777777" w:rsidR="00E97EAE" w:rsidRPr="00E94DDF" w:rsidRDefault="00E97EAE" w:rsidP="00D419B6">
      <w:pPr>
        <w:rPr>
          <w:rFonts w:ascii="Arial" w:eastAsia="Arial" w:hAnsi="Arial" w:cs="Arial"/>
        </w:rPr>
      </w:pPr>
      <w:r w:rsidRPr="31B67BBD">
        <w:rPr>
          <w:rFonts w:ascii="Arial" w:eastAsia="Arial" w:hAnsi="Arial" w:cs="Arial"/>
        </w:rPr>
        <w:t>Local Authorities are responsible for assessing private groundwater abstractions used for potable supply in accordance with the Private Water Supplies (Scotland) Regulations 2006.</w:t>
      </w:r>
    </w:p>
    <w:p w14:paraId="07D9EFF9" w14:textId="77777777" w:rsidR="00E97EAE" w:rsidRDefault="00E97EAE" w:rsidP="00D419B6">
      <w:pPr>
        <w:rPr>
          <w:rFonts w:ascii="Arial" w:eastAsia="Arial" w:hAnsi="Arial" w:cs="Arial"/>
        </w:rPr>
      </w:pPr>
      <w:r w:rsidRPr="31B67BBD">
        <w:rPr>
          <w:rFonts w:ascii="Arial" w:eastAsia="Arial" w:hAnsi="Arial" w:cs="Arial"/>
        </w:rPr>
        <w:t xml:space="preserve">SEPA are responsible for assessing groundwater body status and for regulating activities that may impact on the water environment in accordance with CAR. </w:t>
      </w:r>
    </w:p>
    <w:p w14:paraId="22417700" w14:textId="77777777" w:rsidR="008163E0" w:rsidRDefault="008163E0" w:rsidP="00D419B6">
      <w:pPr>
        <w:rPr>
          <w:rFonts w:ascii="Arial" w:eastAsia="Arial" w:hAnsi="Arial" w:cs="Arial"/>
        </w:rPr>
      </w:pPr>
    </w:p>
    <w:p w14:paraId="4ED7D954" w14:textId="77777777" w:rsidR="00E97EAE" w:rsidRDefault="00E97EAE" w:rsidP="00D419B6">
      <w:pPr>
        <w:rPr>
          <w:rFonts w:ascii="Arial" w:eastAsia="Arial" w:hAnsi="Arial" w:cs="Arial"/>
        </w:rPr>
      </w:pPr>
      <w:r w:rsidRPr="31B67BBD">
        <w:rPr>
          <w:rFonts w:ascii="Arial" w:eastAsia="Arial" w:hAnsi="Arial" w:cs="Arial"/>
        </w:rPr>
        <w:t xml:space="preserve">Note that in applying this guidance, SEPA will only consider the groundwater component of abstractions. It is not SEPA’s role to protect surface run-off that may directly supply the abstraction or enter the abstraction headworks or associated infrastructure due to poor construction. Advice on the protection of these components of the supply should be sought from the Local Authority. </w:t>
      </w:r>
    </w:p>
    <w:p w14:paraId="49B95C5B" w14:textId="77777777" w:rsidR="00E97EAE" w:rsidRDefault="00E97EAE" w:rsidP="00E97EAE">
      <w:pPr>
        <w:rPr>
          <w:rFonts w:ascii="Arial" w:eastAsia="Arial" w:hAnsi="Arial" w:cs="Arial"/>
          <w:color w:val="004B56" w:themeColor="accent1" w:themeShade="BF"/>
        </w:rPr>
      </w:pPr>
      <w:r w:rsidRPr="31B67BBD">
        <w:rPr>
          <w:rFonts w:ascii="Arial" w:eastAsia="Arial" w:hAnsi="Arial" w:cs="Arial"/>
        </w:rPr>
        <w:br w:type="page"/>
      </w:r>
    </w:p>
    <w:p w14:paraId="6718FE06" w14:textId="77777777" w:rsidR="00E97EAE" w:rsidRPr="009F7E28" w:rsidRDefault="00E97EAE" w:rsidP="00DE78E4">
      <w:pPr>
        <w:pStyle w:val="Heading2"/>
        <w:rPr>
          <w:rFonts w:eastAsia="Arial"/>
        </w:rPr>
      </w:pPr>
      <w:r w:rsidRPr="31B67BBD">
        <w:rPr>
          <w:rFonts w:eastAsia="Arial"/>
        </w:rPr>
        <w:lastRenderedPageBreak/>
        <w:t>Recommended assessment approach</w:t>
      </w:r>
    </w:p>
    <w:p w14:paraId="44D62CC2" w14:textId="77777777" w:rsidR="00E97EAE" w:rsidRDefault="00E97EAE" w:rsidP="00E97EAE">
      <w:pPr>
        <w:rPr>
          <w:rFonts w:ascii="Arial" w:eastAsia="Arial" w:hAnsi="Arial" w:cs="Arial"/>
        </w:rPr>
      </w:pPr>
      <w:r w:rsidRPr="31B67BBD">
        <w:rPr>
          <w:rFonts w:ascii="Arial" w:eastAsia="Arial" w:hAnsi="Arial" w:cs="Arial"/>
        </w:rPr>
        <w:t>SEPA recommends adopting a phased approach to the assessment of risks to groundwater abstractions, with greater detail being required for higher risk sites or activities. Our recommended approach is summarised below.</w:t>
      </w:r>
    </w:p>
    <w:p w14:paraId="574170F4" w14:textId="77777777" w:rsidR="008163E0" w:rsidRDefault="008163E0" w:rsidP="00E97EAE">
      <w:pPr>
        <w:rPr>
          <w:rFonts w:ascii="Arial" w:eastAsia="Arial" w:hAnsi="Arial" w:cs="Arial"/>
        </w:rPr>
      </w:pPr>
    </w:p>
    <w:p w14:paraId="677FDCA0" w14:textId="77777777" w:rsidR="00E97EAE" w:rsidRDefault="00E97EAE" w:rsidP="00E97EAE">
      <w:pPr>
        <w:rPr>
          <w:rFonts w:ascii="Arial" w:eastAsia="Arial" w:hAnsi="Arial" w:cs="Arial"/>
        </w:rPr>
      </w:pPr>
      <w:r w:rsidRPr="31B67BBD">
        <w:rPr>
          <w:rFonts w:ascii="Arial" w:eastAsia="Arial" w:hAnsi="Arial" w:cs="Arial"/>
        </w:rPr>
        <w:t xml:space="preserve">SEPA expect the assessments to be undertaken by suitably qualified and experienced specialists. </w:t>
      </w:r>
    </w:p>
    <w:p w14:paraId="351064A6" w14:textId="77777777" w:rsidR="008163E0" w:rsidRDefault="008163E0" w:rsidP="00E97EAE">
      <w:pPr>
        <w:rPr>
          <w:rFonts w:ascii="Arial" w:eastAsia="Arial" w:hAnsi="Arial" w:cs="Arial"/>
        </w:rPr>
      </w:pPr>
    </w:p>
    <w:p w14:paraId="2F3FD146" w14:textId="77777777" w:rsidR="00E97EAE" w:rsidRDefault="00E97EAE" w:rsidP="00E97EAE">
      <w:pPr>
        <w:rPr>
          <w:rFonts w:ascii="Arial" w:eastAsia="Arial" w:hAnsi="Arial" w:cs="Arial"/>
        </w:rPr>
      </w:pPr>
      <w:r w:rsidRPr="31B67BBD">
        <w:rPr>
          <w:rFonts w:ascii="Arial" w:eastAsia="Arial" w:hAnsi="Arial" w:cs="Arial"/>
        </w:rPr>
        <w:t xml:space="preserve">The checklist in Appendix A provides a summary of the information required in support of the Environmental Statement. </w:t>
      </w:r>
    </w:p>
    <w:p w14:paraId="1218F400" w14:textId="77777777" w:rsidR="00DE78E4" w:rsidRDefault="00DE78E4" w:rsidP="00E97EAE">
      <w:pPr>
        <w:rPr>
          <w:rFonts w:ascii="Arial" w:eastAsia="Arial" w:hAnsi="Arial" w:cs="Arial"/>
        </w:rPr>
      </w:pPr>
    </w:p>
    <w:p w14:paraId="3E4C3A87" w14:textId="1B595B90" w:rsidR="00E97EAE" w:rsidRDefault="00E97EAE" w:rsidP="00DE78E4">
      <w:pPr>
        <w:pStyle w:val="Heading3"/>
        <w:rPr>
          <w:rFonts w:eastAsia="Arial"/>
        </w:rPr>
      </w:pPr>
      <w:r w:rsidRPr="31B67BBD">
        <w:rPr>
          <w:rFonts w:eastAsia="Arial"/>
        </w:rPr>
        <w:t>Step 1</w:t>
      </w:r>
      <w:r>
        <w:t xml:space="preserve"> </w:t>
      </w:r>
      <w:r w:rsidRPr="31B67BBD">
        <w:rPr>
          <w:rFonts w:eastAsia="Arial"/>
        </w:rPr>
        <w:t>Identify any existing groundwater abstractions</w:t>
      </w:r>
    </w:p>
    <w:p w14:paraId="0D6E2D8E" w14:textId="77777777" w:rsidR="00E97EAE" w:rsidRDefault="00E97EAE" w:rsidP="00E97EAE">
      <w:pPr>
        <w:rPr>
          <w:rFonts w:ascii="Arial" w:eastAsia="Arial" w:hAnsi="Arial" w:cs="Arial"/>
        </w:rPr>
      </w:pPr>
      <w:r w:rsidRPr="31B67BBD">
        <w:rPr>
          <w:rFonts w:ascii="Arial" w:eastAsia="Arial" w:hAnsi="Arial" w:cs="Arial"/>
        </w:rPr>
        <w:t xml:space="preserve">This covers both public and private water supply groundwater abstractions, both within and </w:t>
      </w:r>
      <w:proofErr w:type="spellStart"/>
      <w:r w:rsidRPr="31B67BBD">
        <w:rPr>
          <w:rFonts w:ascii="Arial" w:eastAsia="Arial" w:hAnsi="Arial" w:cs="Arial"/>
        </w:rPr>
        <w:t>outwith</w:t>
      </w:r>
      <w:proofErr w:type="spellEnd"/>
      <w:r w:rsidRPr="31B67BBD">
        <w:rPr>
          <w:rFonts w:ascii="Arial" w:eastAsia="Arial" w:hAnsi="Arial" w:cs="Arial"/>
        </w:rPr>
        <w:t xml:space="preserve"> the site boundary. </w:t>
      </w:r>
      <w:r w:rsidRPr="31B67BBD">
        <w:rPr>
          <w:rFonts w:ascii="Arial" w:eastAsia="Arial" w:hAnsi="Arial" w:cs="Arial"/>
          <w:b/>
          <w:bCs/>
        </w:rPr>
        <w:t>It is critical that it is the actual source of the abstraction, and not the property that it supplies, that is identified</w:t>
      </w:r>
      <w:r w:rsidRPr="31B67BBD">
        <w:rPr>
          <w:rFonts w:ascii="Arial" w:eastAsia="Arial" w:hAnsi="Arial" w:cs="Arial"/>
        </w:rPr>
        <w:t>.</w:t>
      </w:r>
    </w:p>
    <w:p w14:paraId="6ECB0D7E" w14:textId="77777777" w:rsidR="008163E0" w:rsidRPr="00537F8E" w:rsidRDefault="008163E0" w:rsidP="00E97EAE">
      <w:pPr>
        <w:rPr>
          <w:rFonts w:ascii="Arial" w:eastAsia="Arial" w:hAnsi="Arial" w:cs="Arial"/>
        </w:rPr>
      </w:pPr>
    </w:p>
    <w:p w14:paraId="56D65243" w14:textId="77777777" w:rsidR="00E97EAE" w:rsidRDefault="00E97EAE" w:rsidP="00E97EAE">
      <w:pPr>
        <w:rPr>
          <w:rFonts w:ascii="Arial" w:eastAsia="Arial" w:hAnsi="Arial" w:cs="Arial"/>
        </w:rPr>
      </w:pPr>
      <w:r w:rsidRPr="31B67BBD">
        <w:rPr>
          <w:rFonts w:ascii="Arial" w:eastAsia="Arial" w:hAnsi="Arial" w:cs="Arial"/>
        </w:rPr>
        <w:t>The relevant buffer zones for groundwater abstractions for all proposed infrastructure, both temporary and permanent and provided expected dewatering rates do not exceed 10m</w:t>
      </w:r>
      <w:r w:rsidRPr="31B67BBD">
        <w:rPr>
          <w:rFonts w:ascii="Arial" w:eastAsia="Arial" w:hAnsi="Arial" w:cs="Arial"/>
          <w:vertAlign w:val="superscript"/>
        </w:rPr>
        <w:t>3</w:t>
      </w:r>
      <w:r w:rsidRPr="31B67BBD">
        <w:rPr>
          <w:rFonts w:ascii="Arial" w:eastAsia="Arial" w:hAnsi="Arial" w:cs="Arial"/>
        </w:rPr>
        <w:t>/day, are:</w:t>
      </w:r>
    </w:p>
    <w:p w14:paraId="49A38108" w14:textId="77777777" w:rsidR="008163E0" w:rsidRDefault="008163E0" w:rsidP="00E97EAE">
      <w:pPr>
        <w:rPr>
          <w:rFonts w:ascii="Arial" w:eastAsia="Arial" w:hAnsi="Arial" w:cs="Arial"/>
        </w:rPr>
      </w:pPr>
    </w:p>
    <w:p w14:paraId="771EBE96" w14:textId="77777777" w:rsidR="00E97EAE" w:rsidRDefault="00E97EAE" w:rsidP="00E97EAE">
      <w:pPr>
        <w:rPr>
          <w:rFonts w:ascii="Arial" w:eastAsia="Arial" w:hAnsi="Arial" w:cs="Arial"/>
        </w:rPr>
      </w:pPr>
      <w:r w:rsidRPr="31B67BBD">
        <w:rPr>
          <w:rFonts w:ascii="Arial" w:eastAsia="Arial" w:hAnsi="Arial" w:cs="Arial"/>
        </w:rPr>
        <w:t xml:space="preserve">a) </w:t>
      </w:r>
      <w:r>
        <w:tab/>
      </w:r>
      <w:r w:rsidRPr="31B67BBD">
        <w:rPr>
          <w:rFonts w:ascii="Arial" w:eastAsia="Arial" w:hAnsi="Arial" w:cs="Arial"/>
        </w:rPr>
        <w:t>10m for all activities</w:t>
      </w:r>
    </w:p>
    <w:p w14:paraId="7182700F" w14:textId="77777777" w:rsidR="00E97EAE" w:rsidRPr="00564D96" w:rsidRDefault="00E97EAE" w:rsidP="00E97EAE">
      <w:pPr>
        <w:rPr>
          <w:rFonts w:ascii="Arial" w:eastAsia="Arial" w:hAnsi="Arial" w:cs="Arial"/>
        </w:rPr>
      </w:pPr>
      <w:r w:rsidRPr="31B67BBD">
        <w:rPr>
          <w:rFonts w:ascii="Arial" w:eastAsia="Arial" w:hAnsi="Arial" w:cs="Arial"/>
        </w:rPr>
        <w:t xml:space="preserve">b) </w:t>
      </w:r>
      <w:r>
        <w:tab/>
      </w:r>
      <w:r w:rsidRPr="31B67BBD">
        <w:rPr>
          <w:rFonts w:ascii="Arial" w:eastAsia="Arial" w:hAnsi="Arial" w:cs="Arial"/>
        </w:rPr>
        <w:t xml:space="preserve">100m radius of all subsurface activities less than 1m in depth; </w:t>
      </w:r>
    </w:p>
    <w:p w14:paraId="3411DB1F" w14:textId="77777777" w:rsidR="00E97EAE" w:rsidRDefault="00E97EAE" w:rsidP="00E97EAE">
      <w:pPr>
        <w:rPr>
          <w:rFonts w:ascii="Arial" w:eastAsia="Arial" w:hAnsi="Arial" w:cs="Arial"/>
        </w:rPr>
      </w:pPr>
      <w:r w:rsidRPr="31B67BBD">
        <w:rPr>
          <w:rFonts w:ascii="Arial" w:eastAsia="Arial" w:hAnsi="Arial" w:cs="Arial"/>
        </w:rPr>
        <w:t>c)</w:t>
      </w:r>
      <w:r>
        <w:tab/>
      </w:r>
      <w:r w:rsidRPr="31B67BBD">
        <w:rPr>
          <w:rFonts w:ascii="Arial" w:eastAsia="Arial" w:hAnsi="Arial" w:cs="Arial"/>
        </w:rPr>
        <w:t>250m of all subsurface activities deeper than 1m.</w:t>
      </w:r>
    </w:p>
    <w:p w14:paraId="4EC8321B" w14:textId="77777777" w:rsidR="008163E0" w:rsidRDefault="008163E0" w:rsidP="00E97EAE">
      <w:pPr>
        <w:rPr>
          <w:rFonts w:ascii="Arial" w:eastAsia="Arial" w:hAnsi="Arial" w:cs="Arial"/>
        </w:rPr>
      </w:pPr>
    </w:p>
    <w:p w14:paraId="2C100EDA" w14:textId="77777777" w:rsidR="00E97EAE" w:rsidRDefault="00E97EAE" w:rsidP="00E97EAE">
      <w:pPr>
        <w:rPr>
          <w:rFonts w:ascii="Arial" w:eastAsia="Arial" w:hAnsi="Arial" w:cs="Arial"/>
        </w:rPr>
      </w:pPr>
      <w:r w:rsidRPr="31B67BBD">
        <w:rPr>
          <w:rFonts w:ascii="Arial" w:eastAsia="Arial" w:hAnsi="Arial" w:cs="Arial"/>
        </w:rPr>
        <w:t xml:space="preserve">Scottish Water hold information regarding public water supplies. The Local Authority holds records of private water supplies. Note that the information held by the Local Authority will sometimes relate to the property served by the private water supply, rather than the location of the source itself (e.g. the house rather than the borehole or spring). Therefore, the details of each private water supply source require confirmation, including a site walkover survey. </w:t>
      </w:r>
    </w:p>
    <w:p w14:paraId="0E6BC0A2" w14:textId="77777777" w:rsidR="008163E0" w:rsidRDefault="00E97EAE" w:rsidP="00E97EAE">
      <w:pPr>
        <w:rPr>
          <w:rFonts w:ascii="Arial" w:eastAsia="Arial" w:hAnsi="Arial" w:cs="Arial"/>
          <w:b/>
          <w:bCs/>
        </w:rPr>
      </w:pPr>
      <w:r w:rsidRPr="31B67BBD">
        <w:rPr>
          <w:rFonts w:ascii="Arial" w:eastAsia="Arial" w:hAnsi="Arial" w:cs="Arial"/>
          <w:b/>
          <w:bCs/>
        </w:rPr>
        <w:t xml:space="preserve">If there are no groundwater abstractions within the buffer zones, SEPA will not provide comment on this topic in our planning response. </w:t>
      </w:r>
    </w:p>
    <w:p w14:paraId="177BF1F8" w14:textId="77777777" w:rsidR="008163E0" w:rsidRDefault="008163E0" w:rsidP="00E97EAE">
      <w:pPr>
        <w:rPr>
          <w:rFonts w:ascii="Arial" w:eastAsia="Arial" w:hAnsi="Arial" w:cs="Arial"/>
          <w:b/>
          <w:bCs/>
        </w:rPr>
      </w:pPr>
    </w:p>
    <w:p w14:paraId="1EFEF432" w14:textId="56C9D1A1" w:rsidR="00E97EAE" w:rsidRPr="008163E0" w:rsidRDefault="00E97EAE" w:rsidP="00E97EAE">
      <w:pPr>
        <w:rPr>
          <w:rFonts w:ascii="Arial" w:eastAsia="Arial" w:hAnsi="Arial" w:cs="Arial"/>
          <w:b/>
          <w:bCs/>
        </w:rPr>
      </w:pPr>
      <w:r w:rsidRPr="31B67BBD">
        <w:rPr>
          <w:rFonts w:ascii="Arial" w:eastAsia="Arial" w:hAnsi="Arial" w:cs="Arial"/>
        </w:rPr>
        <w:lastRenderedPageBreak/>
        <w:t xml:space="preserve">Otherwise, proceed to Step 2. </w:t>
      </w:r>
    </w:p>
    <w:p w14:paraId="11660690" w14:textId="77777777" w:rsidR="008163E0" w:rsidRDefault="008163E0" w:rsidP="00E97EAE">
      <w:pPr>
        <w:rPr>
          <w:rFonts w:ascii="Arial" w:eastAsia="Arial" w:hAnsi="Arial" w:cs="Arial"/>
        </w:rPr>
      </w:pPr>
    </w:p>
    <w:p w14:paraId="35EAF436" w14:textId="77777777" w:rsidR="00E97EAE" w:rsidRPr="00781936" w:rsidRDefault="00E97EAE" w:rsidP="00E97EAE">
      <w:pPr>
        <w:rPr>
          <w:rFonts w:ascii="Arial" w:eastAsia="Arial" w:hAnsi="Arial" w:cs="Arial"/>
        </w:rPr>
      </w:pPr>
      <w:r w:rsidRPr="31B67BBD">
        <w:rPr>
          <w:rFonts w:ascii="Arial" w:eastAsia="Arial" w:hAnsi="Arial" w:cs="Arial"/>
        </w:rPr>
        <w:t>During the determination process if a stakeholder considers the location of an individual groundwater abstraction has been wrongly assessed during Step 1, this should be raised with the Determining Authority. The Determining Authority will determine whether further information is required from the developer to confirm the exact locations. If this is after the determination process, then the stakeholder should consult with the relevant Planning Authority.</w:t>
      </w:r>
    </w:p>
    <w:p w14:paraId="11A7917D" w14:textId="77777777" w:rsidR="00E97EAE" w:rsidRDefault="00E97EAE" w:rsidP="00E97EAE">
      <w:pPr>
        <w:rPr>
          <w:rFonts w:ascii="Arial" w:eastAsia="Arial" w:hAnsi="Arial" w:cs="Arial"/>
        </w:rPr>
      </w:pPr>
    </w:p>
    <w:p w14:paraId="64852207" w14:textId="5A843236" w:rsidR="00E97EAE" w:rsidRPr="00564D96" w:rsidRDefault="00E97EAE" w:rsidP="00DE78E4">
      <w:pPr>
        <w:pStyle w:val="Heading3"/>
        <w:rPr>
          <w:rFonts w:eastAsia="Arial"/>
        </w:rPr>
      </w:pPr>
      <w:r w:rsidRPr="31B67BBD">
        <w:rPr>
          <w:rFonts w:eastAsia="Arial"/>
        </w:rPr>
        <w:t>Step 2</w:t>
      </w:r>
      <w:r>
        <w:t xml:space="preserve"> </w:t>
      </w:r>
      <w:r w:rsidRPr="31B67BBD">
        <w:rPr>
          <w:rFonts w:eastAsia="Arial"/>
        </w:rPr>
        <w:t>Qualitative impact assessment</w:t>
      </w:r>
    </w:p>
    <w:p w14:paraId="329A2815" w14:textId="77777777" w:rsidR="008163E0" w:rsidRDefault="00E97EAE" w:rsidP="00E97EAE">
      <w:pPr>
        <w:rPr>
          <w:rFonts w:ascii="Arial" w:eastAsia="Arial" w:hAnsi="Arial" w:cs="Arial"/>
        </w:rPr>
      </w:pPr>
      <w:r w:rsidRPr="31B67BBD">
        <w:rPr>
          <w:rFonts w:ascii="Arial" w:eastAsia="Arial" w:hAnsi="Arial" w:cs="Arial"/>
        </w:rPr>
        <w:t xml:space="preserve">A conceptual site model (CSM) should be provided as part of the Environmental Statement. This should include interpretation of the hydrogeological setting, including the groundwater flow regime. This may be supported, as appropriate, by intrusive ground investigation, groundwater monitoring, or groundwater modelling. </w:t>
      </w:r>
    </w:p>
    <w:p w14:paraId="62775A88" w14:textId="05D0B41B" w:rsidR="00E97EAE" w:rsidRDefault="00E97EAE" w:rsidP="00E97EAE">
      <w:pPr>
        <w:rPr>
          <w:rFonts w:ascii="Arial" w:eastAsia="Arial" w:hAnsi="Arial" w:cs="Arial"/>
        </w:rPr>
      </w:pPr>
      <w:r w:rsidRPr="31B67BBD">
        <w:rPr>
          <w:rFonts w:ascii="Arial" w:eastAsia="Arial" w:hAnsi="Arial" w:cs="Arial"/>
        </w:rPr>
        <w:t xml:space="preserve">  </w:t>
      </w:r>
    </w:p>
    <w:p w14:paraId="17D8F424" w14:textId="77777777" w:rsidR="00E97EAE" w:rsidRDefault="00E97EAE" w:rsidP="00E97EAE">
      <w:pPr>
        <w:rPr>
          <w:rFonts w:ascii="Arial" w:eastAsia="Arial" w:hAnsi="Arial" w:cs="Arial"/>
        </w:rPr>
      </w:pPr>
      <w:r w:rsidRPr="31B67BBD">
        <w:rPr>
          <w:rFonts w:ascii="Arial" w:eastAsia="Arial" w:hAnsi="Arial" w:cs="Arial"/>
        </w:rPr>
        <w:t xml:space="preserve">Qualitative assessment of the potential impacts to any groundwater abstractions identified within the relevant buffer zones is required. This should consider the expected extent, magnitude, likelihood, and duration, frequency, and reversibility of any potential impacts. </w:t>
      </w:r>
    </w:p>
    <w:p w14:paraId="791ACFA8" w14:textId="77777777" w:rsidR="00E97EAE" w:rsidRDefault="00E97EAE" w:rsidP="00E97EAE">
      <w:pPr>
        <w:rPr>
          <w:rFonts w:ascii="Arial" w:eastAsia="Arial" w:hAnsi="Arial" w:cs="Arial"/>
        </w:rPr>
      </w:pPr>
      <w:r w:rsidRPr="31B67BBD">
        <w:rPr>
          <w:rFonts w:ascii="Arial" w:eastAsia="Arial" w:hAnsi="Arial" w:cs="Arial"/>
        </w:rPr>
        <w:t xml:space="preserve">The impact assessment should consider the impacts to each groundwater abstraction individually, including any potential cumulative effects if the groundwater abstraction is near multiple parts of the proposed development. </w:t>
      </w:r>
    </w:p>
    <w:p w14:paraId="2EF89F32" w14:textId="77777777" w:rsidR="008163E0" w:rsidRDefault="008163E0" w:rsidP="00E97EAE">
      <w:pPr>
        <w:rPr>
          <w:rFonts w:ascii="Arial" w:eastAsia="Arial" w:hAnsi="Arial" w:cs="Arial"/>
        </w:rPr>
      </w:pPr>
    </w:p>
    <w:p w14:paraId="149D6448" w14:textId="77777777" w:rsidR="00E97EAE" w:rsidRDefault="00E97EAE" w:rsidP="00E97EAE">
      <w:pPr>
        <w:rPr>
          <w:rFonts w:ascii="Arial" w:eastAsia="Arial" w:hAnsi="Arial" w:cs="Arial"/>
        </w:rPr>
      </w:pPr>
      <w:r w:rsidRPr="31B67BBD">
        <w:rPr>
          <w:rFonts w:ascii="Arial" w:eastAsia="Arial" w:hAnsi="Arial" w:cs="Arial"/>
        </w:rPr>
        <w:t xml:space="preserve">An iterative approach is recommended, using the impact assessment findings to inform the design process. Consider modifying the development proposals to avoid significant risks as far as possible (i.e. by moving proposed activities </w:t>
      </w:r>
      <w:proofErr w:type="spellStart"/>
      <w:r w:rsidRPr="31B67BBD">
        <w:rPr>
          <w:rFonts w:ascii="Arial" w:eastAsia="Arial" w:hAnsi="Arial" w:cs="Arial"/>
        </w:rPr>
        <w:t>outwith</w:t>
      </w:r>
      <w:proofErr w:type="spellEnd"/>
      <w:r w:rsidRPr="31B67BBD">
        <w:rPr>
          <w:rFonts w:ascii="Arial" w:eastAsia="Arial" w:hAnsi="Arial" w:cs="Arial"/>
        </w:rPr>
        <w:t xml:space="preserve"> the relevant buffer zones).</w:t>
      </w:r>
    </w:p>
    <w:p w14:paraId="023353EA" w14:textId="77777777" w:rsidR="008163E0" w:rsidRDefault="008163E0" w:rsidP="00E97EAE">
      <w:pPr>
        <w:rPr>
          <w:rFonts w:ascii="Arial" w:eastAsia="Arial" w:hAnsi="Arial" w:cs="Arial"/>
        </w:rPr>
      </w:pPr>
    </w:p>
    <w:p w14:paraId="751CE88F" w14:textId="77777777" w:rsidR="00E97EAE" w:rsidRDefault="00E97EAE" w:rsidP="00E97EAE">
      <w:pPr>
        <w:rPr>
          <w:rFonts w:ascii="Arial" w:eastAsia="Arial" w:hAnsi="Arial" w:cs="Arial"/>
          <w:b/>
          <w:bCs/>
        </w:rPr>
      </w:pPr>
      <w:r w:rsidRPr="31B67BBD">
        <w:rPr>
          <w:rFonts w:ascii="Arial" w:eastAsia="Arial" w:hAnsi="Arial" w:cs="Arial"/>
          <w:b/>
          <w:bCs/>
        </w:rPr>
        <w:t>If the potential impacts to groundwater abstractions are Low or Unimportant, then no further risk assessment is required. SEPA will not provide comment on this topic in our planning consultation response.</w:t>
      </w:r>
    </w:p>
    <w:p w14:paraId="1FA8D444" w14:textId="77777777" w:rsidR="008163E0" w:rsidRDefault="008163E0" w:rsidP="00E97EAE">
      <w:pPr>
        <w:rPr>
          <w:rFonts w:ascii="Arial" w:eastAsia="Arial" w:hAnsi="Arial" w:cs="Arial"/>
          <w:b/>
          <w:bCs/>
        </w:rPr>
      </w:pPr>
    </w:p>
    <w:p w14:paraId="71129DF2" w14:textId="77777777" w:rsidR="00E97EAE" w:rsidRDefault="00E97EAE" w:rsidP="00E97EAE">
      <w:pPr>
        <w:rPr>
          <w:rFonts w:ascii="Arial" w:eastAsia="Arial" w:hAnsi="Arial" w:cs="Arial"/>
        </w:rPr>
      </w:pPr>
      <w:r w:rsidRPr="31B67BBD">
        <w:rPr>
          <w:rFonts w:ascii="Arial" w:eastAsia="Arial" w:hAnsi="Arial" w:cs="Arial"/>
        </w:rPr>
        <w:t>Otherwise, proceed to Step 3.</w:t>
      </w:r>
    </w:p>
    <w:p w14:paraId="04CD1CB9" w14:textId="77777777" w:rsidR="008163E0" w:rsidRDefault="008163E0" w:rsidP="00E97EAE">
      <w:pPr>
        <w:rPr>
          <w:rFonts w:ascii="Arial" w:eastAsia="Arial" w:hAnsi="Arial" w:cs="Arial"/>
        </w:rPr>
      </w:pPr>
    </w:p>
    <w:p w14:paraId="7242519C" w14:textId="77777777" w:rsidR="00E97EAE" w:rsidRDefault="00E97EAE" w:rsidP="00E97EAE">
      <w:pPr>
        <w:rPr>
          <w:rFonts w:ascii="Arial" w:eastAsia="Arial" w:hAnsi="Arial" w:cs="Arial"/>
        </w:rPr>
      </w:pPr>
      <w:r w:rsidRPr="31B67BBD">
        <w:rPr>
          <w:rFonts w:ascii="Arial" w:eastAsia="Arial" w:hAnsi="Arial" w:cs="Arial"/>
        </w:rPr>
        <w:t xml:space="preserve">During the determination process, if a stakeholder does not agree with the impact assessment findings after Step 2, this should be raised with the Determining Authority. The Determining </w:t>
      </w:r>
      <w:r w:rsidRPr="31B67BBD">
        <w:rPr>
          <w:rFonts w:ascii="Arial" w:eastAsia="Arial" w:hAnsi="Arial" w:cs="Arial"/>
        </w:rPr>
        <w:lastRenderedPageBreak/>
        <w:t>Authority will determine whether further information or assessment is required, including whether to escalate the assessment to Step 3. If this is after the determination process, then the stakeholder should consult with the relevant Planning Authority.</w:t>
      </w:r>
    </w:p>
    <w:p w14:paraId="72FFFB85" w14:textId="77777777" w:rsidR="00E97EAE" w:rsidRPr="00781936" w:rsidRDefault="00E97EAE" w:rsidP="00E97EAE">
      <w:pPr>
        <w:rPr>
          <w:rFonts w:ascii="Arial" w:eastAsia="Arial" w:hAnsi="Arial" w:cs="Arial"/>
          <w:b/>
          <w:bCs/>
        </w:rPr>
      </w:pPr>
    </w:p>
    <w:p w14:paraId="7541C1E2" w14:textId="1D223DE0" w:rsidR="00E97EAE" w:rsidRDefault="00E97EAE" w:rsidP="00DE78E4">
      <w:pPr>
        <w:pStyle w:val="Heading3"/>
        <w:rPr>
          <w:rFonts w:eastAsia="Arial"/>
        </w:rPr>
      </w:pPr>
      <w:r w:rsidRPr="31B67BBD">
        <w:rPr>
          <w:rFonts w:eastAsia="Arial"/>
        </w:rPr>
        <w:t>Step 3</w:t>
      </w:r>
      <w:r>
        <w:t xml:space="preserve"> </w:t>
      </w:r>
      <w:r w:rsidRPr="31B67BBD">
        <w:rPr>
          <w:rFonts w:eastAsia="Arial"/>
        </w:rPr>
        <w:t>Detailed quantitative risk assessment</w:t>
      </w:r>
    </w:p>
    <w:p w14:paraId="26A0EE4E" w14:textId="77777777" w:rsidR="008163E0" w:rsidRPr="008163E0" w:rsidRDefault="008163E0" w:rsidP="008163E0"/>
    <w:p w14:paraId="48466CAC" w14:textId="77777777" w:rsidR="008163E0" w:rsidRDefault="00E97EAE" w:rsidP="00E97EAE">
      <w:pPr>
        <w:rPr>
          <w:rFonts w:ascii="Arial" w:eastAsia="Arial" w:hAnsi="Arial" w:cs="Arial"/>
        </w:rPr>
      </w:pPr>
      <w:r w:rsidRPr="31B67BBD">
        <w:rPr>
          <w:rFonts w:ascii="Arial" w:eastAsia="Arial" w:hAnsi="Arial" w:cs="Arial"/>
        </w:rPr>
        <w:t>Undertake detailed quantitative risk assessment (DQRA) to determine the potential effects on the groundwater abstractions within the buffers.</w:t>
      </w:r>
    </w:p>
    <w:p w14:paraId="76B7F0D0" w14:textId="06E2DD0A" w:rsidR="00E97EAE" w:rsidRDefault="00E97EAE" w:rsidP="00E97EAE">
      <w:pPr>
        <w:rPr>
          <w:rFonts w:ascii="Arial" w:eastAsia="Arial" w:hAnsi="Arial" w:cs="Arial"/>
        </w:rPr>
      </w:pPr>
      <w:r w:rsidRPr="31B67BBD">
        <w:rPr>
          <w:rFonts w:ascii="Arial" w:eastAsia="Arial" w:hAnsi="Arial" w:cs="Arial"/>
        </w:rPr>
        <w:t xml:space="preserve"> </w:t>
      </w:r>
    </w:p>
    <w:p w14:paraId="099E4331" w14:textId="77777777" w:rsidR="00E97EAE" w:rsidRDefault="00E97EAE" w:rsidP="00E97EAE">
      <w:pPr>
        <w:rPr>
          <w:rFonts w:ascii="Arial" w:eastAsia="Arial" w:hAnsi="Arial" w:cs="Arial"/>
        </w:rPr>
      </w:pPr>
      <w:r w:rsidRPr="31B67BBD">
        <w:rPr>
          <w:rFonts w:ascii="Arial" w:eastAsia="Arial" w:hAnsi="Arial" w:cs="Arial"/>
        </w:rPr>
        <w:t xml:space="preserve">The DQRA is expected to be supported by appropriate characterisation of the ground conditions at both the relevant infrastructure location(s) and the groundwater abstraction(s), plus the pathway(s) in between if appropriate. This will require ground investigation, including groundwater level and quality monitoring. </w:t>
      </w:r>
    </w:p>
    <w:p w14:paraId="07077563" w14:textId="77777777" w:rsidR="008163E0" w:rsidRDefault="008163E0" w:rsidP="00E97EAE">
      <w:pPr>
        <w:rPr>
          <w:rFonts w:ascii="Arial" w:eastAsia="Arial" w:hAnsi="Arial" w:cs="Arial"/>
        </w:rPr>
      </w:pPr>
    </w:p>
    <w:p w14:paraId="17846A5F" w14:textId="77777777" w:rsidR="00E97EAE" w:rsidRDefault="00E97EAE" w:rsidP="00E97EAE">
      <w:pPr>
        <w:rPr>
          <w:rFonts w:ascii="Arial" w:eastAsia="Arial" w:hAnsi="Arial" w:cs="Arial"/>
        </w:rPr>
      </w:pPr>
      <w:r w:rsidRPr="31B67BBD">
        <w:rPr>
          <w:rFonts w:ascii="Arial" w:eastAsia="Arial" w:hAnsi="Arial" w:cs="Arial"/>
        </w:rPr>
        <w:t>The DQRA should quantify the potential change(s) in groundwater levels or flow regime. The modelling approach, input parameters and assumptions should be justified. The hydrogeological modelling predictions should inform the assessment of the risks to the groundwater abstractions.</w:t>
      </w:r>
    </w:p>
    <w:p w14:paraId="59E1978B" w14:textId="77777777" w:rsidR="008163E0" w:rsidRDefault="008163E0" w:rsidP="00E97EAE">
      <w:pPr>
        <w:rPr>
          <w:rFonts w:ascii="Arial" w:eastAsia="Arial" w:hAnsi="Arial" w:cs="Arial"/>
        </w:rPr>
      </w:pPr>
    </w:p>
    <w:p w14:paraId="4DF1817F" w14:textId="77777777" w:rsidR="00E97EAE" w:rsidRDefault="00E97EAE" w:rsidP="00E97EAE">
      <w:pPr>
        <w:rPr>
          <w:rFonts w:ascii="Arial" w:eastAsia="Arial" w:hAnsi="Arial" w:cs="Arial"/>
        </w:rPr>
      </w:pPr>
      <w:r w:rsidRPr="31B67BBD">
        <w:rPr>
          <w:rFonts w:ascii="Arial" w:eastAsia="Arial" w:hAnsi="Arial" w:cs="Arial"/>
        </w:rPr>
        <w:t xml:space="preserve">If the DQRA confirms the potential impacts are Major or Medium, then provide details of the site-specific mitigation measures proposed to avoid or offset the potential impacts. The nature of the mitigation measures required will depend on both the development and the groundwater abstractions. </w:t>
      </w:r>
    </w:p>
    <w:p w14:paraId="3F65472A" w14:textId="77777777" w:rsidR="008163E0" w:rsidRDefault="008163E0" w:rsidP="00E97EAE">
      <w:pPr>
        <w:rPr>
          <w:rFonts w:ascii="Arial" w:eastAsia="Arial" w:hAnsi="Arial" w:cs="Arial"/>
        </w:rPr>
      </w:pPr>
    </w:p>
    <w:p w14:paraId="4501CDD0" w14:textId="77777777" w:rsidR="00E97EAE" w:rsidRDefault="00E97EAE" w:rsidP="00E97EAE">
      <w:pPr>
        <w:rPr>
          <w:rFonts w:ascii="Arial" w:eastAsia="Arial" w:hAnsi="Arial" w:cs="Arial"/>
        </w:rPr>
      </w:pPr>
      <w:r w:rsidRPr="31B67BBD">
        <w:rPr>
          <w:rFonts w:ascii="Arial" w:eastAsia="Arial" w:hAnsi="Arial" w:cs="Arial"/>
        </w:rPr>
        <w:t xml:space="preserve">Then refine the DQRA to confirm whether any residual impacts to the groundwater abstractions remain once the proposed mitigation measures are in place. </w:t>
      </w:r>
    </w:p>
    <w:p w14:paraId="714174E2" w14:textId="77777777" w:rsidR="00E97EAE" w:rsidRDefault="00E97EAE" w:rsidP="00E97EAE">
      <w:pPr>
        <w:rPr>
          <w:rFonts w:ascii="Arial" w:eastAsia="Arial" w:hAnsi="Arial" w:cs="Arial"/>
        </w:rPr>
      </w:pPr>
      <w:r w:rsidRPr="31B67BBD">
        <w:rPr>
          <w:rFonts w:ascii="Arial" w:eastAsia="Arial" w:hAnsi="Arial" w:cs="Arial"/>
        </w:rPr>
        <w:br w:type="page"/>
      </w:r>
    </w:p>
    <w:p w14:paraId="772DF783" w14:textId="77777777" w:rsidR="00E97EAE" w:rsidRPr="00AB0CFF" w:rsidRDefault="00E97EAE" w:rsidP="00DE78E4">
      <w:pPr>
        <w:pStyle w:val="Heading2"/>
        <w:rPr>
          <w:rFonts w:eastAsia="Arial"/>
        </w:rPr>
      </w:pPr>
      <w:r w:rsidRPr="31B67BBD">
        <w:rPr>
          <w:rFonts w:eastAsia="Arial"/>
        </w:rPr>
        <w:lastRenderedPageBreak/>
        <w:t>Monitoring &amp; contingency planning</w:t>
      </w:r>
    </w:p>
    <w:p w14:paraId="397D4EB5" w14:textId="77777777" w:rsidR="00E97EAE" w:rsidRDefault="00E97EAE" w:rsidP="00E97EAE">
      <w:pPr>
        <w:rPr>
          <w:rFonts w:ascii="Arial" w:eastAsia="Arial" w:hAnsi="Arial" w:cs="Arial"/>
        </w:rPr>
      </w:pPr>
      <w:r w:rsidRPr="31B67BBD">
        <w:rPr>
          <w:rFonts w:ascii="Arial" w:eastAsia="Arial" w:hAnsi="Arial" w:cs="Arial"/>
        </w:rPr>
        <w:t xml:space="preserve">If the DQRA during Step 3 confirmed there are potential impacts to groundwater abstractions, then SEPA recommend monitoring of the relevant abstractions is undertaken to demonstrate the effectiveness of the proposed site-specific mitigation measures. </w:t>
      </w:r>
    </w:p>
    <w:p w14:paraId="4A1187AE" w14:textId="77777777" w:rsidR="008163E0" w:rsidRDefault="008163E0" w:rsidP="00E97EAE">
      <w:pPr>
        <w:rPr>
          <w:rFonts w:ascii="Arial" w:eastAsia="Arial" w:hAnsi="Arial" w:cs="Arial"/>
        </w:rPr>
      </w:pPr>
    </w:p>
    <w:p w14:paraId="174141CF" w14:textId="77777777" w:rsidR="00E97EAE" w:rsidRDefault="00E97EAE" w:rsidP="00E97EAE">
      <w:pPr>
        <w:rPr>
          <w:rFonts w:ascii="Arial" w:eastAsia="Arial" w:hAnsi="Arial" w:cs="Arial"/>
        </w:rPr>
      </w:pPr>
      <w:r w:rsidRPr="31B67BBD">
        <w:rPr>
          <w:rFonts w:ascii="Arial" w:eastAsia="Arial" w:hAnsi="Arial" w:cs="Arial"/>
        </w:rPr>
        <w:t xml:space="preserve">The developer or Determining Authority may choose to widen the scope of the monitoring further to include monitoring of all abstractions within the buffers.  </w:t>
      </w:r>
    </w:p>
    <w:p w14:paraId="12A9270F" w14:textId="77777777" w:rsidR="008163E0" w:rsidRDefault="008163E0" w:rsidP="00E97EAE">
      <w:pPr>
        <w:rPr>
          <w:rFonts w:ascii="Arial" w:eastAsia="Arial" w:hAnsi="Arial" w:cs="Arial"/>
        </w:rPr>
      </w:pPr>
    </w:p>
    <w:p w14:paraId="3D8663B0" w14:textId="77777777" w:rsidR="00E97EAE" w:rsidRDefault="00E97EAE" w:rsidP="00E97EAE">
      <w:pPr>
        <w:rPr>
          <w:rFonts w:ascii="Arial" w:eastAsia="Arial" w:hAnsi="Arial" w:cs="Arial"/>
        </w:rPr>
      </w:pPr>
      <w:r w:rsidRPr="31B67BBD">
        <w:rPr>
          <w:rFonts w:ascii="Arial" w:eastAsia="Arial" w:hAnsi="Arial" w:cs="Arial"/>
        </w:rPr>
        <w:t>A site-specific monitoring plan should be provided. The scope of the monitoring is expected to include groundwater monitoring (levels and quality) and monitoring at the groundwater abstractions. The monitoring plan should include detailed justification of why the proposed scope is fit for purpose. See Appendix B for further guidance on monitoring.</w:t>
      </w:r>
    </w:p>
    <w:p w14:paraId="4AA8ED4F" w14:textId="77777777" w:rsidR="008163E0" w:rsidRPr="00C709F5" w:rsidRDefault="008163E0" w:rsidP="00E97EAE">
      <w:pPr>
        <w:rPr>
          <w:rFonts w:ascii="Arial" w:eastAsia="Arial" w:hAnsi="Arial" w:cs="Arial"/>
        </w:rPr>
      </w:pPr>
    </w:p>
    <w:p w14:paraId="67AB2755" w14:textId="77777777" w:rsidR="00E97EAE" w:rsidRDefault="00E97EAE" w:rsidP="00E97EAE">
      <w:pPr>
        <w:rPr>
          <w:rFonts w:ascii="Arial" w:eastAsia="Arial" w:hAnsi="Arial" w:cs="Arial"/>
        </w:rPr>
      </w:pPr>
      <w:r w:rsidRPr="31B67BBD">
        <w:rPr>
          <w:rFonts w:ascii="Arial" w:eastAsia="Arial" w:hAnsi="Arial" w:cs="Arial"/>
        </w:rPr>
        <w:t>The monitoring plan is recommended to include:</w:t>
      </w:r>
    </w:p>
    <w:p w14:paraId="48A32479" w14:textId="77777777" w:rsidR="008163E0" w:rsidRDefault="008163E0" w:rsidP="00E97EAE">
      <w:pPr>
        <w:rPr>
          <w:rFonts w:ascii="Arial" w:eastAsia="Arial" w:hAnsi="Arial" w:cs="Arial"/>
        </w:rPr>
      </w:pPr>
    </w:p>
    <w:p w14:paraId="2C10E443" w14:textId="77777777" w:rsidR="00E97EAE" w:rsidRDefault="00E97EAE" w:rsidP="00E97EAE">
      <w:pPr>
        <w:pStyle w:val="ListParagraph"/>
        <w:numPr>
          <w:ilvl w:val="0"/>
          <w:numId w:val="14"/>
        </w:numPr>
        <w:spacing w:line="360" w:lineRule="auto"/>
        <w:ind w:left="782" w:hanging="357"/>
        <w:rPr>
          <w:rFonts w:ascii="Arial" w:eastAsia="Arial" w:hAnsi="Arial" w:cs="Arial"/>
          <w:sz w:val="24"/>
          <w:szCs w:val="24"/>
        </w:rPr>
      </w:pPr>
      <w:r w:rsidRPr="31B67BBD">
        <w:rPr>
          <w:rFonts w:ascii="Arial" w:eastAsia="Arial" w:hAnsi="Arial" w:cs="Arial"/>
          <w:sz w:val="24"/>
          <w:szCs w:val="24"/>
        </w:rPr>
        <w:t>Monitoring point locations</w:t>
      </w:r>
    </w:p>
    <w:p w14:paraId="1F11A5E6" w14:textId="77777777" w:rsidR="00E97EAE" w:rsidRDefault="00E97EAE" w:rsidP="00E97EAE">
      <w:pPr>
        <w:pStyle w:val="ListParagraph"/>
        <w:numPr>
          <w:ilvl w:val="0"/>
          <w:numId w:val="14"/>
        </w:numPr>
        <w:spacing w:line="360" w:lineRule="auto"/>
        <w:ind w:left="782" w:hanging="357"/>
        <w:rPr>
          <w:rFonts w:ascii="Arial" w:eastAsia="Arial" w:hAnsi="Arial" w:cs="Arial"/>
          <w:sz w:val="24"/>
          <w:szCs w:val="24"/>
        </w:rPr>
      </w:pPr>
      <w:r w:rsidRPr="31B67BBD">
        <w:rPr>
          <w:rFonts w:ascii="Arial" w:eastAsia="Arial" w:hAnsi="Arial" w:cs="Arial"/>
          <w:sz w:val="24"/>
          <w:szCs w:val="24"/>
        </w:rPr>
        <w:t>Monitoring suite</w:t>
      </w:r>
    </w:p>
    <w:p w14:paraId="03162DF1" w14:textId="77777777" w:rsidR="00E97EAE" w:rsidRDefault="00E97EAE" w:rsidP="00E97EAE">
      <w:pPr>
        <w:pStyle w:val="ListParagraph"/>
        <w:numPr>
          <w:ilvl w:val="0"/>
          <w:numId w:val="14"/>
        </w:numPr>
        <w:spacing w:line="360" w:lineRule="auto"/>
        <w:ind w:left="782" w:hanging="357"/>
        <w:rPr>
          <w:rFonts w:ascii="Arial" w:eastAsia="Arial" w:hAnsi="Arial" w:cs="Arial"/>
          <w:sz w:val="24"/>
          <w:szCs w:val="24"/>
        </w:rPr>
      </w:pPr>
      <w:r w:rsidRPr="31B67BBD">
        <w:rPr>
          <w:rFonts w:ascii="Arial" w:eastAsia="Arial" w:hAnsi="Arial" w:cs="Arial"/>
          <w:sz w:val="24"/>
          <w:szCs w:val="24"/>
        </w:rPr>
        <w:t>Monitoring frequency</w:t>
      </w:r>
    </w:p>
    <w:p w14:paraId="04ED31AC" w14:textId="77777777" w:rsidR="00E97EAE" w:rsidRDefault="00E97EAE" w:rsidP="00E97EAE">
      <w:pPr>
        <w:pStyle w:val="ListParagraph"/>
        <w:numPr>
          <w:ilvl w:val="0"/>
          <w:numId w:val="14"/>
        </w:numPr>
        <w:spacing w:line="360" w:lineRule="auto"/>
        <w:ind w:left="782" w:hanging="357"/>
        <w:rPr>
          <w:rFonts w:ascii="Arial" w:eastAsia="Arial" w:hAnsi="Arial" w:cs="Arial"/>
          <w:sz w:val="24"/>
          <w:szCs w:val="24"/>
        </w:rPr>
      </w:pPr>
      <w:r w:rsidRPr="31B67BBD">
        <w:rPr>
          <w:rFonts w:ascii="Arial" w:eastAsia="Arial" w:hAnsi="Arial" w:cs="Arial"/>
          <w:sz w:val="24"/>
          <w:szCs w:val="24"/>
        </w:rPr>
        <w:t>Overview of the monitoring methods and associated QA/QC procedures that will be implemented to ensure the monitoring results are representative</w:t>
      </w:r>
    </w:p>
    <w:p w14:paraId="1A975307" w14:textId="77777777" w:rsidR="00E97EAE" w:rsidRDefault="00E97EAE" w:rsidP="00E97EAE">
      <w:pPr>
        <w:pStyle w:val="ListParagraph"/>
        <w:numPr>
          <w:ilvl w:val="0"/>
          <w:numId w:val="14"/>
        </w:numPr>
        <w:spacing w:line="360" w:lineRule="auto"/>
        <w:ind w:left="782" w:hanging="357"/>
        <w:rPr>
          <w:rFonts w:ascii="Arial" w:eastAsia="Arial" w:hAnsi="Arial" w:cs="Arial"/>
          <w:sz w:val="24"/>
          <w:szCs w:val="24"/>
        </w:rPr>
      </w:pPr>
      <w:r w:rsidRPr="31B67BBD">
        <w:rPr>
          <w:rFonts w:ascii="Arial" w:eastAsia="Arial" w:hAnsi="Arial" w:cs="Arial"/>
          <w:sz w:val="24"/>
          <w:szCs w:val="24"/>
        </w:rPr>
        <w:t>Site-specific compliance metrics that will be used to identify whether any adverse impact may be occurring /has occurred</w:t>
      </w:r>
    </w:p>
    <w:p w14:paraId="3A58FF36" w14:textId="77777777" w:rsidR="00E97EAE" w:rsidRDefault="00E97EAE" w:rsidP="00E97EAE">
      <w:pPr>
        <w:pStyle w:val="ListParagraph"/>
        <w:numPr>
          <w:ilvl w:val="0"/>
          <w:numId w:val="14"/>
        </w:numPr>
        <w:spacing w:line="360" w:lineRule="auto"/>
        <w:rPr>
          <w:rFonts w:ascii="Arial" w:eastAsia="Arial" w:hAnsi="Arial" w:cs="Arial"/>
          <w:sz w:val="24"/>
          <w:szCs w:val="24"/>
        </w:rPr>
      </w:pPr>
      <w:r w:rsidRPr="31B67BBD">
        <w:rPr>
          <w:rFonts w:ascii="Arial" w:eastAsia="Arial" w:hAnsi="Arial" w:cs="Arial"/>
          <w:sz w:val="24"/>
          <w:szCs w:val="24"/>
        </w:rPr>
        <w:t>Contingency plans that will be implemented if adverse impacts are identified. These should include timescales for notification of relevant stakeholders, and for design and implementation of remedial actions.</w:t>
      </w:r>
    </w:p>
    <w:p w14:paraId="034396BF" w14:textId="77777777" w:rsidR="00E97EAE" w:rsidRDefault="00E97EAE" w:rsidP="00E97EAE">
      <w:pPr>
        <w:rPr>
          <w:rFonts w:ascii="Arial" w:eastAsia="Arial" w:hAnsi="Arial" w:cs="Arial"/>
        </w:rPr>
      </w:pPr>
      <w:r w:rsidRPr="31B67BBD">
        <w:rPr>
          <w:rFonts w:ascii="Arial" w:eastAsia="Arial" w:hAnsi="Arial" w:cs="Arial"/>
        </w:rPr>
        <w:t xml:space="preserve">Baseline monitoring is expected to commence at least 12 months ahead of the development works starting on site. </w:t>
      </w:r>
    </w:p>
    <w:p w14:paraId="651D4DFC" w14:textId="77777777" w:rsidR="008163E0" w:rsidRDefault="008163E0" w:rsidP="00E97EAE">
      <w:pPr>
        <w:rPr>
          <w:rFonts w:ascii="Arial" w:eastAsia="Arial" w:hAnsi="Arial" w:cs="Arial"/>
        </w:rPr>
      </w:pPr>
    </w:p>
    <w:p w14:paraId="52FACA31" w14:textId="77777777" w:rsidR="00E97EAE" w:rsidRDefault="00E97EAE" w:rsidP="00E97EAE">
      <w:pPr>
        <w:rPr>
          <w:rFonts w:ascii="Arial" w:eastAsia="Arial" w:hAnsi="Arial" w:cs="Arial"/>
        </w:rPr>
      </w:pPr>
      <w:r w:rsidRPr="31B67BBD">
        <w:rPr>
          <w:rFonts w:ascii="Arial" w:eastAsia="Arial" w:hAnsi="Arial" w:cs="Arial"/>
        </w:rPr>
        <w:t xml:space="preserve">Monitoring is expected to continue during the construction phase, and for a minimum of 12 months post-construction. </w:t>
      </w:r>
    </w:p>
    <w:p w14:paraId="7C95385F" w14:textId="77777777" w:rsidR="008163E0" w:rsidRPr="0025439C" w:rsidRDefault="008163E0" w:rsidP="00E97EAE">
      <w:pPr>
        <w:rPr>
          <w:rFonts w:ascii="Arial" w:eastAsia="Arial" w:hAnsi="Arial" w:cs="Arial"/>
        </w:rPr>
      </w:pPr>
    </w:p>
    <w:p w14:paraId="7A2BAB77" w14:textId="77777777" w:rsidR="00E97EAE" w:rsidRDefault="00E97EAE" w:rsidP="00E97EAE">
      <w:pPr>
        <w:rPr>
          <w:rFonts w:ascii="Arial" w:eastAsia="Arial" w:hAnsi="Arial" w:cs="Arial"/>
        </w:rPr>
      </w:pPr>
      <w:r w:rsidRPr="31B67BBD">
        <w:rPr>
          <w:rFonts w:ascii="Arial" w:eastAsia="Arial" w:hAnsi="Arial" w:cs="Arial"/>
        </w:rPr>
        <w:lastRenderedPageBreak/>
        <w:t xml:space="preserve">The monitoring results must be regularly analysed and interpreted to identify whether any significant adverse impacts on the groundwater abstractions have occurred or are likely to occur. </w:t>
      </w:r>
    </w:p>
    <w:p w14:paraId="3EF52A94" w14:textId="77777777" w:rsidR="008163E0" w:rsidRDefault="008163E0" w:rsidP="00E97EAE">
      <w:pPr>
        <w:rPr>
          <w:rFonts w:ascii="Arial" w:eastAsia="Arial" w:hAnsi="Arial" w:cs="Arial"/>
        </w:rPr>
      </w:pPr>
    </w:p>
    <w:p w14:paraId="785DFA20" w14:textId="77777777" w:rsidR="00E97EAE" w:rsidRDefault="00E97EAE" w:rsidP="00E97EAE">
      <w:pPr>
        <w:rPr>
          <w:rFonts w:ascii="Arial" w:eastAsia="Arial" w:hAnsi="Arial" w:cs="Arial"/>
        </w:rPr>
      </w:pPr>
      <w:r w:rsidRPr="31B67BBD">
        <w:rPr>
          <w:rFonts w:ascii="Arial" w:eastAsia="Arial" w:hAnsi="Arial" w:cs="Arial"/>
        </w:rPr>
        <w:t xml:space="preserve">The monitoring results should be reported to the Local Authority and the owner/operator of the existing abstractions. Reporting is expected at the end of the baseline period and then annually thereafter. </w:t>
      </w:r>
      <w:r w:rsidRPr="31B67BBD">
        <w:rPr>
          <w:rFonts w:ascii="Arial" w:eastAsia="Arial" w:hAnsi="Arial" w:cs="Arial"/>
          <w:b/>
          <w:bCs/>
        </w:rPr>
        <w:t>There is no requirement to routinely submit the monitoring data to SEPA. SEPA will not review the monitoring data unless the Local Authority has identified specific issues of significant concern.</w:t>
      </w:r>
      <w:r w:rsidRPr="31B67BBD">
        <w:rPr>
          <w:rFonts w:ascii="Arial" w:eastAsia="Arial" w:hAnsi="Arial" w:cs="Arial"/>
        </w:rPr>
        <w:t xml:space="preserve">  </w:t>
      </w:r>
    </w:p>
    <w:p w14:paraId="6C98C5CD" w14:textId="77777777" w:rsidR="008163E0" w:rsidRDefault="008163E0" w:rsidP="00E97EAE">
      <w:pPr>
        <w:rPr>
          <w:rFonts w:ascii="Arial" w:eastAsia="Arial" w:hAnsi="Arial" w:cs="Arial"/>
        </w:rPr>
      </w:pPr>
    </w:p>
    <w:p w14:paraId="48518E3E" w14:textId="77777777" w:rsidR="00E97EAE" w:rsidRDefault="00E97EAE" w:rsidP="00E97EAE">
      <w:pPr>
        <w:rPr>
          <w:rFonts w:ascii="Arial" w:eastAsia="Arial" w:hAnsi="Arial" w:cs="Arial"/>
        </w:rPr>
      </w:pPr>
      <w:r w:rsidRPr="31B67BBD">
        <w:rPr>
          <w:rFonts w:ascii="Arial" w:eastAsia="Arial" w:hAnsi="Arial" w:cs="Arial"/>
        </w:rPr>
        <w:t xml:space="preserve">If any potential impacts are identified by the monitoring or through other means, the contingency plan should be implemented. Appropriate remedial measures are expected to be implemented as soon as possible if adverse impacts are identified. </w:t>
      </w:r>
    </w:p>
    <w:p w14:paraId="7B9D52FB" w14:textId="77777777" w:rsidR="008163E0" w:rsidRDefault="008163E0" w:rsidP="00E97EAE">
      <w:pPr>
        <w:rPr>
          <w:rFonts w:ascii="Arial" w:eastAsia="Arial" w:hAnsi="Arial" w:cs="Arial"/>
        </w:rPr>
      </w:pPr>
    </w:p>
    <w:p w14:paraId="7BCABAA9" w14:textId="77777777" w:rsidR="00E97EAE" w:rsidRDefault="00E97EAE" w:rsidP="00E97EAE">
      <w:pPr>
        <w:rPr>
          <w:rFonts w:ascii="Arial" w:eastAsia="Arial" w:hAnsi="Arial" w:cs="Arial"/>
        </w:rPr>
      </w:pPr>
      <w:r w:rsidRPr="31B67BBD">
        <w:rPr>
          <w:rFonts w:ascii="Arial" w:eastAsia="Arial" w:hAnsi="Arial" w:cs="Arial"/>
        </w:rPr>
        <w:t xml:space="preserve">Contingency plans involving the temporary or permanent replacement of a groundwater supply to provide security of supply (e.g. provision of a new borehole or connection to public supply) must be agreed with the owner /operator of the abstraction. </w:t>
      </w:r>
      <w:r w:rsidRPr="31B67BBD">
        <w:rPr>
          <w:rFonts w:ascii="Arial" w:eastAsia="Arial" w:hAnsi="Arial" w:cs="Arial"/>
          <w:b/>
          <w:bCs/>
        </w:rPr>
        <w:t>SEPA will not comment on the alteration or the provision of alternative supplies, the acceptance of which can only be agreed between the developer and the supply owner.</w:t>
      </w:r>
    </w:p>
    <w:p w14:paraId="2B67D2F1" w14:textId="77777777" w:rsidR="00E97EAE" w:rsidRDefault="00E97EAE" w:rsidP="00E97EAE">
      <w:pPr>
        <w:rPr>
          <w:rFonts w:ascii="Arial" w:eastAsia="Arial" w:hAnsi="Arial" w:cs="Arial"/>
        </w:rPr>
      </w:pPr>
      <w:r w:rsidRPr="31B67BBD">
        <w:rPr>
          <w:rFonts w:ascii="Arial" w:eastAsia="Arial" w:hAnsi="Arial" w:cs="Arial"/>
        </w:rPr>
        <w:br w:type="page"/>
      </w:r>
    </w:p>
    <w:p w14:paraId="4914309B" w14:textId="77777777" w:rsidR="00E97EAE" w:rsidRPr="00D6771C" w:rsidRDefault="00E97EAE" w:rsidP="00DE78E4">
      <w:pPr>
        <w:pStyle w:val="Heading2"/>
        <w:rPr>
          <w:rFonts w:eastAsia="Arial"/>
        </w:rPr>
      </w:pPr>
      <w:r w:rsidRPr="31B67BBD">
        <w:rPr>
          <w:rFonts w:eastAsia="Arial"/>
        </w:rPr>
        <w:lastRenderedPageBreak/>
        <w:t xml:space="preserve">Appendix A </w:t>
      </w:r>
      <w:r>
        <w:tab/>
      </w:r>
      <w:r w:rsidRPr="31B67BBD">
        <w:rPr>
          <w:rFonts w:eastAsia="Arial"/>
        </w:rPr>
        <w:t>Checklist of supporting information</w:t>
      </w:r>
    </w:p>
    <w:p w14:paraId="269987F9" w14:textId="77777777" w:rsidR="00E97EAE" w:rsidRDefault="00E97EAE" w:rsidP="00E97EAE">
      <w:pPr>
        <w:rPr>
          <w:rFonts w:ascii="Arial" w:eastAsia="Arial" w:hAnsi="Arial" w:cs="Arial"/>
        </w:rPr>
      </w:pPr>
      <w:r w:rsidRPr="31B67BBD">
        <w:rPr>
          <w:rFonts w:ascii="Arial" w:eastAsia="Arial" w:hAnsi="Arial" w:cs="Arial"/>
        </w:rPr>
        <w:t>As a minimum, all applications should include the following supporting information:</w:t>
      </w:r>
    </w:p>
    <w:p w14:paraId="5E7AD9B6" w14:textId="77777777" w:rsidR="008163E0" w:rsidRDefault="008163E0" w:rsidP="00E97EAE">
      <w:pPr>
        <w:rPr>
          <w:rFonts w:ascii="Arial" w:eastAsia="Arial" w:hAnsi="Arial" w:cs="Arial"/>
        </w:rPr>
      </w:pPr>
    </w:p>
    <w:p w14:paraId="6B0210E1" w14:textId="77777777" w:rsidR="00E97EAE" w:rsidRDefault="00E97EAE" w:rsidP="00E97EAE">
      <w:pPr>
        <w:pStyle w:val="ListParagraph"/>
        <w:numPr>
          <w:ilvl w:val="0"/>
          <w:numId w:val="15"/>
        </w:numPr>
        <w:spacing w:after="240" w:line="360" w:lineRule="auto"/>
        <w:ind w:hanging="357"/>
        <w:rPr>
          <w:rFonts w:ascii="Arial" w:eastAsia="Arial" w:hAnsi="Arial" w:cs="Arial"/>
          <w:sz w:val="24"/>
          <w:szCs w:val="24"/>
        </w:rPr>
      </w:pPr>
      <w:r w:rsidRPr="31B67BBD">
        <w:rPr>
          <w:rFonts w:ascii="Arial" w:eastAsia="Arial" w:hAnsi="Arial" w:cs="Arial"/>
          <w:sz w:val="24"/>
          <w:szCs w:val="24"/>
        </w:rPr>
        <w:t>Plans on a base layer Ordnance Survey topographical map (1:10,000 scale if no groundwater abstractions identified within buffer plus also 1:2500 scale if groundwater abstractions are present, 10m contours) including the following information:</w:t>
      </w:r>
    </w:p>
    <w:p w14:paraId="494E7522" w14:textId="77777777" w:rsidR="00E97EAE" w:rsidRDefault="00E97EAE" w:rsidP="00E97EAE">
      <w:pPr>
        <w:pStyle w:val="ListParagraph"/>
        <w:numPr>
          <w:ilvl w:val="1"/>
          <w:numId w:val="15"/>
        </w:numPr>
        <w:spacing w:after="240" w:line="360" w:lineRule="auto"/>
        <w:rPr>
          <w:rFonts w:ascii="Arial" w:eastAsia="Arial" w:hAnsi="Arial" w:cs="Arial"/>
          <w:sz w:val="24"/>
          <w:szCs w:val="24"/>
        </w:rPr>
      </w:pPr>
      <w:r w:rsidRPr="31B67BBD">
        <w:rPr>
          <w:rFonts w:ascii="Arial" w:eastAsia="Arial" w:hAnsi="Arial" w:cs="Arial"/>
          <w:sz w:val="24"/>
          <w:szCs w:val="24"/>
        </w:rPr>
        <w:t>A</w:t>
      </w:r>
      <w:r w:rsidRPr="31B67BBD">
        <w:rPr>
          <w:rFonts w:ascii="Arial" w:eastAsia="Arial" w:hAnsi="Arial" w:cs="Arial"/>
          <w:sz w:val="24"/>
          <w:szCs w:val="24"/>
          <w:u w:val="single"/>
        </w:rPr>
        <w:t>ll</w:t>
      </w:r>
      <w:r w:rsidRPr="31B67BBD">
        <w:rPr>
          <w:rFonts w:ascii="Arial" w:eastAsia="Arial" w:hAnsi="Arial" w:cs="Arial"/>
          <w:sz w:val="24"/>
          <w:szCs w:val="24"/>
        </w:rPr>
        <w:t xml:space="preserve"> proposed infrastructure, including temporary works; </w:t>
      </w:r>
    </w:p>
    <w:p w14:paraId="61F07AAF" w14:textId="77777777" w:rsidR="00E97EAE" w:rsidRPr="009B044C" w:rsidRDefault="00E97EAE" w:rsidP="00E97EAE">
      <w:pPr>
        <w:pStyle w:val="ListParagraph"/>
        <w:numPr>
          <w:ilvl w:val="1"/>
          <w:numId w:val="15"/>
        </w:numPr>
        <w:spacing w:after="240" w:line="360" w:lineRule="auto"/>
        <w:rPr>
          <w:rFonts w:ascii="Arial" w:eastAsia="Arial" w:hAnsi="Arial" w:cs="Arial"/>
          <w:sz w:val="24"/>
          <w:szCs w:val="24"/>
        </w:rPr>
      </w:pPr>
      <w:r w:rsidRPr="31B67BBD">
        <w:rPr>
          <w:rFonts w:ascii="Arial" w:eastAsia="Arial" w:hAnsi="Arial" w:cs="Arial"/>
          <w:sz w:val="24"/>
          <w:szCs w:val="24"/>
        </w:rPr>
        <w:t xml:space="preserve">Details of the spatial extent and depth of all proposed subsurface works; </w:t>
      </w:r>
    </w:p>
    <w:p w14:paraId="619F638A" w14:textId="77777777" w:rsidR="00E97EAE" w:rsidRDefault="00E97EAE" w:rsidP="00E97EAE">
      <w:pPr>
        <w:pStyle w:val="ListParagraph"/>
        <w:numPr>
          <w:ilvl w:val="1"/>
          <w:numId w:val="15"/>
        </w:numPr>
        <w:spacing w:after="240" w:line="360" w:lineRule="auto"/>
        <w:rPr>
          <w:rFonts w:ascii="Arial" w:eastAsia="Arial" w:hAnsi="Arial" w:cs="Arial"/>
          <w:sz w:val="24"/>
          <w:szCs w:val="24"/>
        </w:rPr>
      </w:pPr>
      <w:r w:rsidRPr="31B67BBD">
        <w:rPr>
          <w:rFonts w:ascii="Arial" w:eastAsia="Arial" w:hAnsi="Arial" w:cs="Arial"/>
          <w:sz w:val="24"/>
          <w:szCs w:val="24"/>
        </w:rPr>
        <w:t xml:space="preserve">The relevant buffer zones around the proposed infrastructure (100m for subsurface activities &lt;1m deep and 250m for subsurface activities &gt;1m depth); </w:t>
      </w:r>
    </w:p>
    <w:p w14:paraId="3ABA886A" w14:textId="77777777" w:rsidR="00E97EAE" w:rsidRDefault="00E97EAE" w:rsidP="00E97EAE">
      <w:pPr>
        <w:pStyle w:val="ListParagraph"/>
        <w:numPr>
          <w:ilvl w:val="1"/>
          <w:numId w:val="15"/>
        </w:numPr>
        <w:spacing w:after="240" w:line="360" w:lineRule="auto"/>
        <w:rPr>
          <w:rFonts w:ascii="Arial" w:eastAsia="Arial" w:hAnsi="Arial" w:cs="Arial"/>
          <w:sz w:val="24"/>
          <w:szCs w:val="24"/>
        </w:rPr>
      </w:pPr>
      <w:r w:rsidRPr="31B67BBD">
        <w:rPr>
          <w:rFonts w:ascii="Arial" w:eastAsia="Arial" w:hAnsi="Arial" w:cs="Arial"/>
          <w:sz w:val="24"/>
          <w:szCs w:val="24"/>
        </w:rPr>
        <w:t>Water features (rivers, streams, lochs, ponds, ditches, springs, wells, issues, collects, etc.); and</w:t>
      </w:r>
    </w:p>
    <w:p w14:paraId="211017D6" w14:textId="77777777" w:rsidR="00E97EAE" w:rsidRPr="008947BA" w:rsidRDefault="00E97EAE" w:rsidP="00E97EAE">
      <w:pPr>
        <w:pStyle w:val="ListParagraph"/>
        <w:numPr>
          <w:ilvl w:val="1"/>
          <w:numId w:val="15"/>
        </w:numPr>
        <w:spacing w:after="120" w:line="360" w:lineRule="auto"/>
        <w:rPr>
          <w:rFonts w:ascii="Arial" w:eastAsia="Arial" w:hAnsi="Arial" w:cs="Arial"/>
          <w:sz w:val="24"/>
          <w:szCs w:val="24"/>
        </w:rPr>
      </w:pPr>
      <w:r w:rsidRPr="31B67BBD">
        <w:rPr>
          <w:rFonts w:ascii="Arial" w:eastAsia="Arial" w:hAnsi="Arial" w:cs="Arial"/>
          <w:sz w:val="24"/>
          <w:szCs w:val="24"/>
        </w:rPr>
        <w:t xml:space="preserve">The locations of all groundwater abstractions within the relevant buffer zones </w:t>
      </w:r>
      <w:r w:rsidRPr="31B67BBD">
        <w:rPr>
          <w:rFonts w:ascii="Arial" w:eastAsia="Arial" w:hAnsi="Arial" w:cs="Arial"/>
          <w:b/>
          <w:bCs/>
          <w:sz w:val="24"/>
          <w:szCs w:val="24"/>
        </w:rPr>
        <w:t>OR</w:t>
      </w:r>
      <w:r w:rsidRPr="31B67BBD">
        <w:rPr>
          <w:rFonts w:ascii="Arial" w:eastAsia="Arial" w:hAnsi="Arial" w:cs="Arial"/>
          <w:sz w:val="24"/>
          <w:szCs w:val="24"/>
        </w:rPr>
        <w:t xml:space="preserve"> alternatively a statement confirming that no groundwater abstractions are present within the buffer zones. </w:t>
      </w:r>
    </w:p>
    <w:p w14:paraId="21CEB804" w14:textId="34F98330" w:rsidR="00E97EAE" w:rsidRDefault="00E97EAE" w:rsidP="00E97EAE">
      <w:pPr>
        <w:spacing w:after="240"/>
        <w:rPr>
          <w:rFonts w:ascii="Arial" w:eastAsia="Arial" w:hAnsi="Arial" w:cs="Arial"/>
        </w:rPr>
      </w:pPr>
      <w:r w:rsidRPr="31B67BBD">
        <w:rPr>
          <w:rFonts w:ascii="Arial" w:eastAsia="Arial" w:hAnsi="Arial" w:cs="Arial"/>
        </w:rPr>
        <w:t>Supplementing these plans with cross-sectional drawings is highly recommended.</w:t>
      </w:r>
    </w:p>
    <w:p w14:paraId="1276277B" w14:textId="77777777" w:rsidR="00E97EAE" w:rsidRPr="009E41AB" w:rsidRDefault="00E97EAE" w:rsidP="00E97EAE">
      <w:pPr>
        <w:spacing w:after="240"/>
        <w:rPr>
          <w:rFonts w:ascii="Arial" w:eastAsia="Arial" w:hAnsi="Arial" w:cs="Arial"/>
        </w:rPr>
      </w:pPr>
      <w:r w:rsidRPr="31B67BBD">
        <w:rPr>
          <w:rFonts w:ascii="Arial" w:eastAsia="Arial" w:hAnsi="Arial" w:cs="Arial"/>
        </w:rPr>
        <w:t>If any groundwater abstractions are identified within the relevant buffer zones (during Step 1), then the following additional supporting information should also be provided:</w:t>
      </w:r>
    </w:p>
    <w:p w14:paraId="59D5573C" w14:textId="77777777" w:rsidR="00E97EAE" w:rsidRDefault="00E97EAE" w:rsidP="00E97EAE">
      <w:pPr>
        <w:pStyle w:val="ListParagraph"/>
        <w:numPr>
          <w:ilvl w:val="0"/>
          <w:numId w:val="15"/>
        </w:numPr>
        <w:spacing w:after="240" w:line="360" w:lineRule="auto"/>
        <w:ind w:hanging="357"/>
        <w:rPr>
          <w:rFonts w:ascii="Arial" w:eastAsia="Arial" w:hAnsi="Arial" w:cs="Arial"/>
          <w:sz w:val="24"/>
          <w:szCs w:val="24"/>
        </w:rPr>
      </w:pPr>
      <w:r w:rsidRPr="31B67BBD">
        <w:rPr>
          <w:rFonts w:ascii="Arial" w:eastAsia="Arial" w:hAnsi="Arial" w:cs="Arial"/>
          <w:sz w:val="24"/>
          <w:szCs w:val="24"/>
        </w:rPr>
        <w:t xml:space="preserve">Details of the existing groundwater abstractions, including: </w:t>
      </w:r>
    </w:p>
    <w:p w14:paraId="38F91F48" w14:textId="77777777" w:rsidR="008163E0" w:rsidRDefault="008163E0" w:rsidP="008163E0">
      <w:pPr>
        <w:pStyle w:val="ListParagraph"/>
        <w:spacing w:after="240" w:line="360" w:lineRule="auto"/>
        <w:rPr>
          <w:rFonts w:ascii="Arial" w:eastAsia="Arial" w:hAnsi="Arial" w:cs="Arial"/>
          <w:sz w:val="24"/>
          <w:szCs w:val="24"/>
        </w:rPr>
      </w:pPr>
    </w:p>
    <w:p w14:paraId="68808E2B" w14:textId="77777777" w:rsidR="00E97EAE" w:rsidRDefault="00E97EAE" w:rsidP="00E97EAE">
      <w:pPr>
        <w:pStyle w:val="ListParagraph"/>
        <w:numPr>
          <w:ilvl w:val="1"/>
          <w:numId w:val="15"/>
        </w:numPr>
        <w:spacing w:after="240" w:line="360" w:lineRule="auto"/>
        <w:rPr>
          <w:rFonts w:ascii="Arial" w:eastAsia="Arial" w:hAnsi="Arial" w:cs="Arial"/>
          <w:sz w:val="24"/>
          <w:szCs w:val="24"/>
        </w:rPr>
      </w:pPr>
      <w:r w:rsidRPr="31B67BBD">
        <w:rPr>
          <w:rFonts w:ascii="Arial" w:eastAsia="Arial" w:hAnsi="Arial" w:cs="Arial"/>
          <w:sz w:val="24"/>
          <w:szCs w:val="24"/>
        </w:rPr>
        <w:t>Source type (e.g. borehole, well, spring, etc)</w:t>
      </w:r>
    </w:p>
    <w:p w14:paraId="26DB0966" w14:textId="77777777" w:rsidR="00E97EAE" w:rsidRDefault="00E97EAE" w:rsidP="00E97EAE">
      <w:pPr>
        <w:pStyle w:val="ListParagraph"/>
        <w:numPr>
          <w:ilvl w:val="1"/>
          <w:numId w:val="15"/>
        </w:numPr>
        <w:spacing w:after="240" w:line="360" w:lineRule="auto"/>
        <w:ind w:left="1434" w:hanging="357"/>
        <w:rPr>
          <w:rFonts w:ascii="Arial" w:eastAsia="Arial" w:hAnsi="Arial" w:cs="Arial"/>
          <w:sz w:val="24"/>
          <w:szCs w:val="24"/>
        </w:rPr>
      </w:pPr>
      <w:r w:rsidRPr="31B67BBD">
        <w:rPr>
          <w:rFonts w:ascii="Arial" w:eastAsia="Arial" w:hAnsi="Arial" w:cs="Arial"/>
          <w:sz w:val="24"/>
          <w:szCs w:val="24"/>
        </w:rPr>
        <w:t xml:space="preserve">Logs / construction details of the abstraction source and associated infrastructure. </w:t>
      </w:r>
    </w:p>
    <w:p w14:paraId="3C04589C" w14:textId="77777777" w:rsidR="00E97EAE" w:rsidRDefault="00E97EAE" w:rsidP="00E97EAE">
      <w:pPr>
        <w:pStyle w:val="ListParagraph"/>
        <w:numPr>
          <w:ilvl w:val="1"/>
          <w:numId w:val="15"/>
        </w:numPr>
        <w:spacing w:after="240" w:line="360" w:lineRule="auto"/>
        <w:rPr>
          <w:rFonts w:ascii="Arial" w:eastAsia="Arial" w:hAnsi="Arial" w:cs="Arial"/>
          <w:sz w:val="24"/>
          <w:szCs w:val="24"/>
        </w:rPr>
      </w:pPr>
      <w:r w:rsidRPr="31B67BBD">
        <w:rPr>
          <w:rFonts w:ascii="Arial" w:eastAsia="Arial" w:hAnsi="Arial" w:cs="Arial"/>
          <w:sz w:val="24"/>
          <w:szCs w:val="24"/>
        </w:rPr>
        <w:t>Photograph(s) of abstraction source and associated headworks and infrastructure</w:t>
      </w:r>
    </w:p>
    <w:p w14:paraId="0DC82840" w14:textId="77777777" w:rsidR="00E97EAE" w:rsidRDefault="00E97EAE" w:rsidP="00E97EAE">
      <w:pPr>
        <w:pStyle w:val="ListParagraph"/>
        <w:numPr>
          <w:ilvl w:val="1"/>
          <w:numId w:val="15"/>
        </w:numPr>
        <w:spacing w:after="240" w:line="360" w:lineRule="auto"/>
        <w:rPr>
          <w:rFonts w:ascii="Arial" w:eastAsia="Arial" w:hAnsi="Arial" w:cs="Arial"/>
          <w:sz w:val="24"/>
          <w:szCs w:val="24"/>
        </w:rPr>
      </w:pPr>
      <w:r w:rsidRPr="31B67BBD">
        <w:rPr>
          <w:rFonts w:ascii="Arial" w:eastAsia="Arial" w:hAnsi="Arial" w:cs="Arial"/>
          <w:sz w:val="24"/>
          <w:szCs w:val="24"/>
        </w:rPr>
        <w:t xml:space="preserve">Water usage (e.g. potable supply, irrigation, industrial supply, etc); and </w:t>
      </w:r>
    </w:p>
    <w:p w14:paraId="52BCCEFA" w14:textId="77777777" w:rsidR="00E97EAE" w:rsidRDefault="00E97EAE" w:rsidP="00E97EAE">
      <w:pPr>
        <w:pStyle w:val="ListParagraph"/>
        <w:numPr>
          <w:ilvl w:val="1"/>
          <w:numId w:val="15"/>
        </w:numPr>
        <w:spacing w:after="240" w:line="360" w:lineRule="auto"/>
        <w:rPr>
          <w:rFonts w:ascii="Arial" w:eastAsia="Arial" w:hAnsi="Arial" w:cs="Arial"/>
          <w:sz w:val="24"/>
          <w:szCs w:val="24"/>
        </w:rPr>
      </w:pPr>
      <w:r w:rsidRPr="31B67BBD">
        <w:rPr>
          <w:rFonts w:ascii="Arial" w:eastAsia="Arial" w:hAnsi="Arial" w:cs="Arial"/>
          <w:sz w:val="24"/>
          <w:szCs w:val="24"/>
        </w:rPr>
        <w:t xml:space="preserve">Abstraction rates. </w:t>
      </w:r>
    </w:p>
    <w:p w14:paraId="3F18638F" w14:textId="77777777" w:rsidR="008163E0" w:rsidRDefault="008163E0" w:rsidP="008163E0">
      <w:pPr>
        <w:pStyle w:val="ListParagraph"/>
        <w:spacing w:after="240" w:line="360" w:lineRule="auto"/>
        <w:ind w:left="1440"/>
        <w:rPr>
          <w:rFonts w:ascii="Arial" w:eastAsia="Arial" w:hAnsi="Arial" w:cs="Arial"/>
          <w:sz w:val="24"/>
          <w:szCs w:val="24"/>
        </w:rPr>
      </w:pPr>
    </w:p>
    <w:p w14:paraId="305D41B6" w14:textId="77777777" w:rsidR="00E97EAE" w:rsidRDefault="00E97EAE" w:rsidP="00E97EAE">
      <w:pPr>
        <w:pStyle w:val="ListParagraph"/>
        <w:numPr>
          <w:ilvl w:val="0"/>
          <w:numId w:val="15"/>
        </w:numPr>
        <w:spacing w:after="240" w:line="360" w:lineRule="auto"/>
        <w:ind w:hanging="357"/>
        <w:rPr>
          <w:rFonts w:ascii="Arial" w:eastAsia="Arial" w:hAnsi="Arial" w:cs="Arial"/>
          <w:sz w:val="24"/>
          <w:szCs w:val="24"/>
        </w:rPr>
      </w:pPr>
      <w:r w:rsidRPr="31B67BBD">
        <w:rPr>
          <w:rFonts w:ascii="Arial" w:eastAsia="Arial" w:hAnsi="Arial" w:cs="Arial"/>
          <w:sz w:val="24"/>
          <w:szCs w:val="24"/>
        </w:rPr>
        <w:t>Conceptual site model. All assumptions should be justified.</w:t>
      </w:r>
    </w:p>
    <w:p w14:paraId="70819965" w14:textId="77777777" w:rsidR="008163E0" w:rsidRDefault="008163E0" w:rsidP="008163E0">
      <w:pPr>
        <w:pStyle w:val="ListParagraph"/>
        <w:spacing w:after="240" w:line="360" w:lineRule="auto"/>
        <w:rPr>
          <w:rFonts w:ascii="Arial" w:eastAsia="Arial" w:hAnsi="Arial" w:cs="Arial"/>
          <w:sz w:val="24"/>
          <w:szCs w:val="24"/>
        </w:rPr>
      </w:pPr>
    </w:p>
    <w:p w14:paraId="04AEA462" w14:textId="77777777" w:rsidR="00E97EAE" w:rsidRDefault="00E97EAE" w:rsidP="00E97EAE">
      <w:pPr>
        <w:pStyle w:val="ListParagraph"/>
        <w:numPr>
          <w:ilvl w:val="0"/>
          <w:numId w:val="15"/>
        </w:numPr>
        <w:spacing w:after="240" w:line="360" w:lineRule="auto"/>
        <w:ind w:hanging="357"/>
        <w:rPr>
          <w:rFonts w:ascii="Arial" w:eastAsia="Arial" w:hAnsi="Arial" w:cs="Arial"/>
          <w:sz w:val="24"/>
          <w:szCs w:val="24"/>
        </w:rPr>
      </w:pPr>
      <w:r w:rsidRPr="31B67BBD">
        <w:rPr>
          <w:rFonts w:ascii="Arial" w:eastAsia="Arial" w:hAnsi="Arial" w:cs="Arial"/>
          <w:sz w:val="24"/>
          <w:szCs w:val="24"/>
        </w:rPr>
        <w:t>Qualitative risk assessment (Step 2).</w:t>
      </w:r>
    </w:p>
    <w:p w14:paraId="3AE4FF18" w14:textId="77777777" w:rsidR="00E97EAE" w:rsidRDefault="00E97EAE" w:rsidP="00E97EAE">
      <w:pPr>
        <w:spacing w:after="240"/>
        <w:rPr>
          <w:rFonts w:ascii="Arial" w:eastAsia="Arial" w:hAnsi="Arial" w:cs="Arial"/>
        </w:rPr>
      </w:pPr>
    </w:p>
    <w:p w14:paraId="7E1B1E19" w14:textId="77777777" w:rsidR="00E97EAE" w:rsidRPr="006B2DAB" w:rsidRDefault="00E97EAE" w:rsidP="00E97EAE">
      <w:pPr>
        <w:spacing w:after="240"/>
        <w:rPr>
          <w:rFonts w:ascii="Arial" w:eastAsia="Arial" w:hAnsi="Arial" w:cs="Arial"/>
        </w:rPr>
      </w:pPr>
      <w:r w:rsidRPr="31B67BBD">
        <w:rPr>
          <w:rFonts w:ascii="Arial" w:eastAsia="Arial" w:hAnsi="Arial" w:cs="Arial"/>
        </w:rPr>
        <w:lastRenderedPageBreak/>
        <w:t>If any potentially significant risks to groundwater abstractions are identified (after Step 2), then the following additional supporting information should also be provided:</w:t>
      </w:r>
    </w:p>
    <w:p w14:paraId="715E91E0" w14:textId="77777777" w:rsidR="00E97EAE" w:rsidRDefault="00E97EAE" w:rsidP="00E97EAE">
      <w:pPr>
        <w:pStyle w:val="ListParagraph"/>
        <w:numPr>
          <w:ilvl w:val="0"/>
          <w:numId w:val="15"/>
        </w:numPr>
        <w:spacing w:after="120" w:line="360" w:lineRule="auto"/>
        <w:ind w:hanging="357"/>
        <w:rPr>
          <w:rFonts w:ascii="Arial" w:eastAsia="Arial" w:hAnsi="Arial" w:cs="Arial"/>
          <w:sz w:val="24"/>
          <w:szCs w:val="24"/>
        </w:rPr>
      </w:pPr>
      <w:r w:rsidRPr="31B67BBD">
        <w:rPr>
          <w:rFonts w:ascii="Arial" w:eastAsia="Arial" w:hAnsi="Arial" w:cs="Arial"/>
          <w:sz w:val="24"/>
          <w:szCs w:val="24"/>
        </w:rPr>
        <w:t>Characterisation of ground conditions for both the relevant infrastructure location(s) and groundwater abstraction(s) (plus pathway(s) in between if appropriate). This will usually include:</w:t>
      </w:r>
    </w:p>
    <w:p w14:paraId="540F34B0" w14:textId="77777777" w:rsidR="00E97EAE" w:rsidRDefault="00E97EAE" w:rsidP="00E97EAE">
      <w:pPr>
        <w:pStyle w:val="ListParagraph"/>
        <w:numPr>
          <w:ilvl w:val="1"/>
          <w:numId w:val="15"/>
        </w:numPr>
        <w:spacing w:after="240" w:line="360" w:lineRule="auto"/>
        <w:rPr>
          <w:rFonts w:ascii="Arial" w:eastAsia="Arial" w:hAnsi="Arial" w:cs="Arial"/>
          <w:sz w:val="24"/>
          <w:szCs w:val="24"/>
        </w:rPr>
      </w:pPr>
      <w:r w:rsidRPr="31B67BBD">
        <w:rPr>
          <w:rFonts w:ascii="Arial" w:eastAsia="Arial" w:hAnsi="Arial" w:cs="Arial"/>
          <w:sz w:val="24"/>
          <w:szCs w:val="24"/>
        </w:rPr>
        <w:t>Intrusive and/or non-intrusive ground investigation</w:t>
      </w:r>
    </w:p>
    <w:p w14:paraId="66651695" w14:textId="77777777" w:rsidR="00E97EAE" w:rsidRDefault="00E97EAE" w:rsidP="00E97EAE">
      <w:pPr>
        <w:pStyle w:val="ListParagraph"/>
        <w:numPr>
          <w:ilvl w:val="1"/>
          <w:numId w:val="15"/>
        </w:numPr>
        <w:spacing w:after="240" w:line="360" w:lineRule="auto"/>
        <w:rPr>
          <w:rFonts w:ascii="Arial" w:eastAsia="Arial" w:hAnsi="Arial" w:cs="Arial"/>
          <w:sz w:val="24"/>
          <w:szCs w:val="24"/>
        </w:rPr>
      </w:pPr>
      <w:r w:rsidRPr="31B67BBD">
        <w:rPr>
          <w:rFonts w:ascii="Arial" w:eastAsia="Arial" w:hAnsi="Arial" w:cs="Arial"/>
          <w:sz w:val="24"/>
          <w:szCs w:val="24"/>
        </w:rPr>
        <w:t xml:space="preserve">Groundwater monitoring data, both levels and quality. </w:t>
      </w:r>
    </w:p>
    <w:p w14:paraId="48276C2F" w14:textId="54C3F181" w:rsidR="008163E0" w:rsidRDefault="00E97EAE" w:rsidP="008163E0">
      <w:pPr>
        <w:pStyle w:val="ListParagraph"/>
        <w:spacing w:after="240" w:line="360" w:lineRule="auto"/>
        <w:rPr>
          <w:rFonts w:ascii="Arial" w:eastAsia="Arial" w:hAnsi="Arial" w:cs="Arial"/>
          <w:sz w:val="24"/>
          <w:szCs w:val="24"/>
        </w:rPr>
      </w:pPr>
      <w:r w:rsidRPr="31B67BBD">
        <w:rPr>
          <w:rFonts w:ascii="Arial" w:eastAsia="Arial" w:hAnsi="Arial" w:cs="Arial"/>
          <w:sz w:val="24"/>
          <w:szCs w:val="24"/>
        </w:rPr>
        <w:t xml:space="preserve">The ground investigation and monitoring should be undertaken in accordance with BS5930:2015+A1:2020. All groundwater level data should be provided both in metres below ground level and in metres above Ordnance Datum. Both factual data and interpretation should be provided. Supplementing the interpretation with appropriate plans and sections is highly recommended. All assumptions should be justified. </w:t>
      </w:r>
    </w:p>
    <w:p w14:paraId="45181B8B" w14:textId="77777777" w:rsidR="008163E0" w:rsidRPr="008163E0" w:rsidRDefault="008163E0" w:rsidP="008163E0">
      <w:pPr>
        <w:pStyle w:val="ListParagraph"/>
        <w:spacing w:after="240" w:line="360" w:lineRule="auto"/>
        <w:rPr>
          <w:rFonts w:ascii="Arial" w:eastAsia="Arial" w:hAnsi="Arial" w:cs="Arial"/>
          <w:sz w:val="24"/>
          <w:szCs w:val="24"/>
        </w:rPr>
      </w:pPr>
    </w:p>
    <w:p w14:paraId="2246239E" w14:textId="77777777" w:rsidR="00E97EAE" w:rsidRDefault="00E97EAE" w:rsidP="00E97EAE">
      <w:pPr>
        <w:pStyle w:val="ListParagraph"/>
        <w:numPr>
          <w:ilvl w:val="0"/>
          <w:numId w:val="15"/>
        </w:numPr>
        <w:spacing w:after="240" w:line="360" w:lineRule="auto"/>
        <w:ind w:hanging="357"/>
        <w:rPr>
          <w:rFonts w:ascii="Arial" w:eastAsia="Arial" w:hAnsi="Arial" w:cs="Arial"/>
          <w:sz w:val="24"/>
          <w:szCs w:val="24"/>
        </w:rPr>
      </w:pPr>
      <w:r w:rsidRPr="31B67BBD">
        <w:rPr>
          <w:rFonts w:ascii="Arial" w:eastAsia="Arial" w:hAnsi="Arial" w:cs="Arial"/>
          <w:sz w:val="24"/>
          <w:szCs w:val="24"/>
        </w:rPr>
        <w:t>An updated site plan (see Point 1 above) including groundwater level contours and flow directions.</w:t>
      </w:r>
    </w:p>
    <w:p w14:paraId="24F535B6" w14:textId="77777777" w:rsidR="008163E0" w:rsidRDefault="008163E0" w:rsidP="008163E0">
      <w:pPr>
        <w:pStyle w:val="ListParagraph"/>
        <w:spacing w:after="240" w:line="360" w:lineRule="auto"/>
        <w:rPr>
          <w:rFonts w:ascii="Arial" w:eastAsia="Arial" w:hAnsi="Arial" w:cs="Arial"/>
          <w:sz w:val="24"/>
          <w:szCs w:val="24"/>
        </w:rPr>
      </w:pPr>
    </w:p>
    <w:p w14:paraId="43D2FC94" w14:textId="2B257B9E" w:rsidR="008163E0" w:rsidRDefault="00E97EAE" w:rsidP="008163E0">
      <w:pPr>
        <w:pStyle w:val="ListParagraph"/>
        <w:numPr>
          <w:ilvl w:val="0"/>
          <w:numId w:val="15"/>
        </w:numPr>
        <w:spacing w:after="240" w:line="360" w:lineRule="auto"/>
        <w:ind w:hanging="357"/>
        <w:rPr>
          <w:rFonts w:ascii="Arial" w:eastAsia="Arial" w:hAnsi="Arial" w:cs="Arial"/>
          <w:sz w:val="24"/>
          <w:szCs w:val="24"/>
        </w:rPr>
      </w:pPr>
      <w:r w:rsidRPr="31B67BBD">
        <w:rPr>
          <w:rFonts w:ascii="Arial" w:eastAsia="Arial" w:hAnsi="Arial" w:cs="Arial"/>
          <w:sz w:val="24"/>
          <w:szCs w:val="24"/>
        </w:rPr>
        <w:t xml:space="preserve">Detailed quantitative risk assessment. Justification should be provided regarding the modelling approach adopted, model input parameters, and all assumptions. </w:t>
      </w:r>
    </w:p>
    <w:p w14:paraId="3342E39C" w14:textId="77777777" w:rsidR="008163E0" w:rsidRPr="008163E0" w:rsidRDefault="008163E0" w:rsidP="008163E0">
      <w:pPr>
        <w:pStyle w:val="ListParagraph"/>
        <w:spacing w:after="240" w:line="360" w:lineRule="auto"/>
        <w:rPr>
          <w:rFonts w:ascii="Arial" w:eastAsia="Arial" w:hAnsi="Arial" w:cs="Arial"/>
          <w:sz w:val="24"/>
          <w:szCs w:val="24"/>
        </w:rPr>
      </w:pPr>
    </w:p>
    <w:p w14:paraId="2FEBEBBE" w14:textId="77777777" w:rsidR="00E97EAE" w:rsidRDefault="00E97EAE" w:rsidP="00E97EAE">
      <w:pPr>
        <w:pStyle w:val="ListParagraph"/>
        <w:numPr>
          <w:ilvl w:val="0"/>
          <w:numId w:val="15"/>
        </w:numPr>
        <w:spacing w:after="240" w:line="360" w:lineRule="auto"/>
        <w:ind w:hanging="357"/>
        <w:rPr>
          <w:rFonts w:ascii="Arial" w:eastAsia="Arial" w:hAnsi="Arial" w:cs="Arial"/>
          <w:sz w:val="24"/>
          <w:szCs w:val="24"/>
        </w:rPr>
      </w:pPr>
      <w:r w:rsidRPr="31B67BBD">
        <w:rPr>
          <w:rFonts w:ascii="Arial" w:eastAsia="Arial" w:hAnsi="Arial" w:cs="Arial"/>
          <w:sz w:val="24"/>
          <w:szCs w:val="24"/>
        </w:rPr>
        <w:t>Detailed description of proposed mitigation measures to offset any significant residual risks (if applicable). Supplementing this with appropriate plans or drawings is highly recommended.</w:t>
      </w:r>
    </w:p>
    <w:p w14:paraId="169BE60E" w14:textId="77777777" w:rsidR="008163E0" w:rsidRDefault="008163E0" w:rsidP="008163E0">
      <w:pPr>
        <w:pStyle w:val="ListParagraph"/>
        <w:spacing w:after="240" w:line="360" w:lineRule="auto"/>
        <w:rPr>
          <w:rFonts w:ascii="Arial" w:eastAsia="Arial" w:hAnsi="Arial" w:cs="Arial"/>
          <w:sz w:val="24"/>
          <w:szCs w:val="24"/>
        </w:rPr>
      </w:pPr>
    </w:p>
    <w:p w14:paraId="08BF934C" w14:textId="77777777" w:rsidR="00E97EAE" w:rsidRPr="00B27A81" w:rsidRDefault="00E97EAE" w:rsidP="00E97EAE">
      <w:pPr>
        <w:pStyle w:val="ListParagraph"/>
        <w:numPr>
          <w:ilvl w:val="0"/>
          <w:numId w:val="15"/>
        </w:numPr>
        <w:spacing w:after="240" w:line="360" w:lineRule="auto"/>
        <w:ind w:hanging="357"/>
        <w:rPr>
          <w:rFonts w:ascii="Arial" w:eastAsia="Arial" w:hAnsi="Arial" w:cs="Arial"/>
          <w:sz w:val="24"/>
          <w:szCs w:val="24"/>
        </w:rPr>
      </w:pPr>
      <w:r w:rsidRPr="31B67BBD">
        <w:rPr>
          <w:rFonts w:ascii="Arial" w:eastAsia="Arial" w:hAnsi="Arial" w:cs="Arial"/>
          <w:sz w:val="24"/>
          <w:szCs w:val="24"/>
        </w:rPr>
        <w:t xml:space="preserve">Proposed monitoring plan (if applicable). </w:t>
      </w:r>
      <w:r w:rsidRPr="31B67BBD">
        <w:rPr>
          <w:rFonts w:ascii="Arial" w:eastAsia="Arial" w:hAnsi="Arial" w:cs="Arial"/>
          <w:sz w:val="24"/>
          <w:szCs w:val="24"/>
        </w:rPr>
        <w:br w:type="page"/>
      </w:r>
    </w:p>
    <w:p w14:paraId="388271B9" w14:textId="77777777" w:rsidR="00E97EAE" w:rsidRPr="00455C6E" w:rsidRDefault="00E97EAE" w:rsidP="00DE78E4">
      <w:pPr>
        <w:pStyle w:val="Heading2"/>
        <w:rPr>
          <w:rFonts w:eastAsia="Arial"/>
        </w:rPr>
      </w:pPr>
      <w:r w:rsidRPr="31B67BBD">
        <w:rPr>
          <w:rFonts w:eastAsia="Arial"/>
        </w:rPr>
        <w:lastRenderedPageBreak/>
        <w:t>Appendix B</w:t>
      </w:r>
      <w:r>
        <w:tab/>
      </w:r>
      <w:r w:rsidRPr="31B67BBD">
        <w:rPr>
          <w:rFonts w:eastAsia="Arial"/>
        </w:rPr>
        <w:t>Additional monitoring guidance</w:t>
      </w:r>
    </w:p>
    <w:p w14:paraId="7F519900" w14:textId="77777777" w:rsidR="00E97EAE" w:rsidRDefault="00E97EAE" w:rsidP="00E97EAE">
      <w:pPr>
        <w:rPr>
          <w:rFonts w:ascii="Arial" w:eastAsia="Arial" w:hAnsi="Arial" w:cs="Arial"/>
        </w:rPr>
      </w:pPr>
      <w:r w:rsidRPr="31B67BBD">
        <w:rPr>
          <w:rFonts w:ascii="Arial" w:eastAsia="Arial" w:hAnsi="Arial" w:cs="Arial"/>
        </w:rPr>
        <w:t>Monitoring must provide an evidence base which demonstrates that the construction and operation of infrastructure is proceeding as intended and that it has not resulted in a statistically significant quantitative or qualitative change to groundwater flows or quality that could impact the groundwater abstractions.</w:t>
      </w:r>
    </w:p>
    <w:p w14:paraId="5F0B7BF7" w14:textId="77777777" w:rsidR="008163E0" w:rsidRDefault="008163E0" w:rsidP="00E97EAE">
      <w:pPr>
        <w:rPr>
          <w:rFonts w:ascii="Arial" w:eastAsia="Arial" w:hAnsi="Arial" w:cs="Arial"/>
        </w:rPr>
      </w:pPr>
    </w:p>
    <w:p w14:paraId="78678A2F" w14:textId="77777777" w:rsidR="00E97EAE" w:rsidRDefault="00E97EAE" w:rsidP="00E97EAE">
      <w:pPr>
        <w:rPr>
          <w:rFonts w:ascii="Arial" w:eastAsia="Arial" w:hAnsi="Arial" w:cs="Arial"/>
        </w:rPr>
      </w:pPr>
      <w:r w:rsidRPr="31B67BBD">
        <w:rPr>
          <w:rFonts w:ascii="Arial" w:eastAsia="Arial" w:hAnsi="Arial" w:cs="Arial"/>
        </w:rPr>
        <w:t>The monitoring should be designed and undertaken by appropriately qualified and experienced specialists.</w:t>
      </w:r>
    </w:p>
    <w:p w14:paraId="43957B0E" w14:textId="77777777" w:rsidR="008163E0" w:rsidRDefault="008163E0" w:rsidP="00E97EAE">
      <w:pPr>
        <w:rPr>
          <w:rFonts w:ascii="Arial" w:eastAsia="Arial" w:hAnsi="Arial" w:cs="Arial"/>
        </w:rPr>
      </w:pPr>
    </w:p>
    <w:p w14:paraId="56C2A945" w14:textId="04E4AFFC" w:rsidR="008163E0" w:rsidRDefault="00E97EAE" w:rsidP="00E97EAE">
      <w:pPr>
        <w:rPr>
          <w:rFonts w:ascii="Arial" w:eastAsia="Arial" w:hAnsi="Arial" w:cs="Arial"/>
        </w:rPr>
      </w:pPr>
      <w:r w:rsidRPr="31B67BBD">
        <w:rPr>
          <w:rFonts w:ascii="Arial" w:eastAsia="Arial" w:hAnsi="Arial" w:cs="Arial"/>
        </w:rPr>
        <w:t xml:space="preserve">SEPA recommend the monitoring includes the following as a minimum. Sites with complex hydrogeological settings, multiple or highly sensitive receptors, and/or where high-risk activities are proposed are likely to require considerably more monitoring. </w:t>
      </w:r>
    </w:p>
    <w:p w14:paraId="37CA79FB" w14:textId="77777777" w:rsidR="008163E0" w:rsidRDefault="008163E0" w:rsidP="00E97EAE">
      <w:pPr>
        <w:rPr>
          <w:rFonts w:ascii="Arial" w:eastAsia="Arial" w:hAnsi="Arial" w:cs="Arial"/>
        </w:rPr>
      </w:pPr>
    </w:p>
    <w:p w14:paraId="5BAD48D9" w14:textId="77777777" w:rsidR="00E97EAE" w:rsidRPr="009F7CF3" w:rsidRDefault="00E97EAE" w:rsidP="00E97EAE">
      <w:pPr>
        <w:pStyle w:val="ListParagraph"/>
        <w:numPr>
          <w:ilvl w:val="0"/>
          <w:numId w:val="16"/>
        </w:numPr>
        <w:spacing w:before="120" w:line="360" w:lineRule="auto"/>
        <w:ind w:left="714" w:hanging="357"/>
        <w:rPr>
          <w:rFonts w:ascii="Arial" w:eastAsia="Arial" w:hAnsi="Arial" w:cs="Arial"/>
          <w:sz w:val="24"/>
          <w:szCs w:val="24"/>
        </w:rPr>
      </w:pPr>
      <w:r w:rsidRPr="31B67BBD">
        <w:rPr>
          <w:rFonts w:ascii="Arial" w:eastAsia="Arial" w:hAnsi="Arial" w:cs="Arial"/>
          <w:b/>
          <w:bCs/>
          <w:sz w:val="24"/>
          <w:szCs w:val="24"/>
        </w:rPr>
        <w:t>Each groundwater abstraction within the buffer zones</w:t>
      </w:r>
      <w:r w:rsidRPr="31B67BBD">
        <w:rPr>
          <w:rFonts w:ascii="Arial" w:eastAsia="Arial" w:hAnsi="Arial" w:cs="Arial"/>
          <w:sz w:val="24"/>
          <w:szCs w:val="24"/>
        </w:rPr>
        <w:t xml:space="preserve"> set out in Step 1.</w:t>
      </w:r>
    </w:p>
    <w:p w14:paraId="21D097AF" w14:textId="77777777" w:rsidR="00E97EAE" w:rsidRDefault="00E97EAE" w:rsidP="00E97EAE">
      <w:pPr>
        <w:pStyle w:val="ListParagraph"/>
        <w:numPr>
          <w:ilvl w:val="0"/>
          <w:numId w:val="16"/>
        </w:numPr>
        <w:spacing w:before="120" w:line="360" w:lineRule="auto"/>
        <w:ind w:left="714" w:hanging="357"/>
        <w:rPr>
          <w:rFonts w:ascii="Arial" w:eastAsia="Arial" w:hAnsi="Arial" w:cs="Arial"/>
          <w:sz w:val="24"/>
          <w:szCs w:val="24"/>
        </w:rPr>
      </w:pPr>
      <w:r w:rsidRPr="31B67BBD">
        <w:rPr>
          <w:rFonts w:ascii="Arial" w:eastAsia="Arial" w:hAnsi="Arial" w:cs="Arial"/>
          <w:b/>
          <w:bCs/>
          <w:sz w:val="24"/>
          <w:szCs w:val="24"/>
        </w:rPr>
        <w:t>Groundwater level monitoring</w:t>
      </w:r>
      <w:r w:rsidRPr="31B67BBD">
        <w:rPr>
          <w:rFonts w:ascii="Arial" w:eastAsia="Arial" w:hAnsi="Arial" w:cs="Arial"/>
          <w:sz w:val="24"/>
          <w:szCs w:val="24"/>
        </w:rPr>
        <w:t xml:space="preserve">. Water levels should be measured to at least 10mm accuracy and the data provided in both metres below ground level and metres above Ordnance Datum. Records should specify whether readings are representative of pumped or rest conditions. Flow rates should be monitored at springs. The use of dataloggers to allow more frequent monitoring is highly recommended to better characterise how groundwater levels respond to weather events. </w:t>
      </w:r>
    </w:p>
    <w:p w14:paraId="5A57C8CC" w14:textId="77777777" w:rsidR="00E97EAE" w:rsidRDefault="00E97EAE" w:rsidP="00E97EAE">
      <w:pPr>
        <w:pStyle w:val="ListParagraph"/>
        <w:numPr>
          <w:ilvl w:val="0"/>
          <w:numId w:val="16"/>
        </w:numPr>
        <w:spacing w:before="120" w:line="360" w:lineRule="auto"/>
        <w:ind w:left="714" w:hanging="357"/>
        <w:rPr>
          <w:rFonts w:ascii="Arial" w:eastAsia="Arial" w:hAnsi="Arial" w:cs="Arial"/>
          <w:sz w:val="24"/>
          <w:szCs w:val="24"/>
        </w:rPr>
      </w:pPr>
      <w:r w:rsidRPr="31B67BBD">
        <w:rPr>
          <w:rFonts w:ascii="Arial" w:eastAsia="Arial" w:hAnsi="Arial" w:cs="Arial"/>
          <w:b/>
          <w:bCs/>
          <w:sz w:val="24"/>
          <w:szCs w:val="24"/>
        </w:rPr>
        <w:t>Groundwater quality sampling and analysis</w:t>
      </w:r>
      <w:r w:rsidRPr="31B67BBD">
        <w:rPr>
          <w:rFonts w:ascii="Arial" w:eastAsia="Arial" w:hAnsi="Arial" w:cs="Arial"/>
          <w:sz w:val="24"/>
          <w:szCs w:val="24"/>
        </w:rPr>
        <w:t xml:space="preserve">. Appropriate sampling methods should be selected to ensure the water samples are representative and to avoid cross-contamination between monitoring points. Monitoring raw water quality is recommended. </w:t>
      </w:r>
    </w:p>
    <w:p w14:paraId="74BF2B19" w14:textId="77777777" w:rsidR="00E97EAE" w:rsidRDefault="00E97EAE" w:rsidP="00E97EAE">
      <w:pPr>
        <w:pStyle w:val="ListParagraph"/>
        <w:numPr>
          <w:ilvl w:val="0"/>
          <w:numId w:val="16"/>
        </w:numPr>
        <w:spacing w:line="360" w:lineRule="auto"/>
        <w:rPr>
          <w:rFonts w:ascii="Arial" w:eastAsia="Arial" w:hAnsi="Arial" w:cs="Arial"/>
          <w:sz w:val="24"/>
          <w:szCs w:val="24"/>
        </w:rPr>
      </w:pPr>
      <w:r w:rsidRPr="31B67BBD">
        <w:rPr>
          <w:rFonts w:ascii="Arial" w:eastAsia="Arial" w:hAnsi="Arial" w:cs="Arial"/>
          <w:b/>
          <w:bCs/>
          <w:sz w:val="24"/>
          <w:szCs w:val="24"/>
        </w:rPr>
        <w:t>Rainfall monitoring</w:t>
      </w:r>
      <w:r w:rsidRPr="31B67BBD">
        <w:rPr>
          <w:rFonts w:ascii="Arial" w:eastAsia="Arial" w:hAnsi="Arial" w:cs="Arial"/>
          <w:sz w:val="24"/>
          <w:szCs w:val="24"/>
        </w:rPr>
        <w:t>. Either a site-specific rain gauge should be established or alternatively rainfall data may be sourced from a third-party rain gauge (e.g. SEPA or Met Office) if the location is adequately representative for the site. Rainfall should be measured at least daily.</w:t>
      </w:r>
    </w:p>
    <w:p w14:paraId="64E55AFC" w14:textId="77777777" w:rsidR="00E97EAE" w:rsidRDefault="00E97EAE" w:rsidP="00E97EAE">
      <w:pPr>
        <w:rPr>
          <w:rFonts w:ascii="Arial" w:eastAsia="Arial" w:hAnsi="Arial" w:cs="Arial"/>
        </w:rPr>
      </w:pPr>
      <w:r w:rsidRPr="31B67BBD">
        <w:rPr>
          <w:rFonts w:ascii="Arial" w:eastAsia="Arial" w:hAnsi="Arial" w:cs="Arial"/>
        </w:rPr>
        <w:t xml:space="preserve">Additionally, SEPA consider it beneficial for the developer to also monitor additional locations between the development and the groundwater abstraction. These may include purpose-built monitoring boreholes, springs, and/or co-opted third party wells if suitable. Additionally, the groundwater monitoring network may be supplemented by surface water monitoring if appropriate for the hydrogeological setting. </w:t>
      </w:r>
    </w:p>
    <w:p w14:paraId="4DE06DF5" w14:textId="77777777" w:rsidR="00E97EAE" w:rsidRDefault="00E97EAE" w:rsidP="00E97EAE">
      <w:pPr>
        <w:rPr>
          <w:rFonts w:ascii="Arial" w:eastAsia="Arial" w:hAnsi="Arial" w:cs="Arial"/>
        </w:rPr>
      </w:pPr>
      <w:r w:rsidRPr="31B67BBD">
        <w:rPr>
          <w:rFonts w:ascii="Arial" w:eastAsia="Arial" w:hAnsi="Arial" w:cs="Arial"/>
        </w:rPr>
        <w:lastRenderedPageBreak/>
        <w:t>Recommended minimum groundwater monitoring frequencies:</w:t>
      </w:r>
    </w:p>
    <w:p w14:paraId="0AE7CD85" w14:textId="77777777" w:rsidR="008163E0" w:rsidRDefault="008163E0" w:rsidP="00E97EAE">
      <w:pPr>
        <w:rPr>
          <w:rFonts w:ascii="Arial" w:eastAsia="Arial" w:hAnsi="Arial" w:cs="Arial"/>
        </w:rPr>
      </w:pPr>
    </w:p>
    <w:p w14:paraId="35E725DF" w14:textId="77777777" w:rsidR="00E97EAE" w:rsidRDefault="00E97EAE" w:rsidP="00E97EAE">
      <w:pPr>
        <w:pStyle w:val="ListParagraph"/>
        <w:numPr>
          <w:ilvl w:val="0"/>
          <w:numId w:val="20"/>
        </w:numPr>
        <w:spacing w:line="360" w:lineRule="auto"/>
        <w:ind w:left="714" w:hanging="357"/>
        <w:rPr>
          <w:rFonts w:ascii="Arial" w:eastAsia="Arial" w:hAnsi="Arial" w:cs="Arial"/>
          <w:sz w:val="24"/>
          <w:szCs w:val="24"/>
        </w:rPr>
      </w:pPr>
      <w:r w:rsidRPr="31B67BBD">
        <w:rPr>
          <w:rFonts w:ascii="Arial" w:eastAsia="Arial" w:hAnsi="Arial" w:cs="Arial"/>
          <w:b/>
          <w:bCs/>
          <w:sz w:val="24"/>
          <w:szCs w:val="24"/>
        </w:rPr>
        <w:t>Baseline</w:t>
      </w:r>
      <w:r w:rsidRPr="31B67BBD">
        <w:rPr>
          <w:rFonts w:ascii="Arial" w:eastAsia="Arial" w:hAnsi="Arial" w:cs="Arial"/>
          <w:sz w:val="24"/>
          <w:szCs w:val="24"/>
        </w:rPr>
        <w:t xml:space="preserve"> – monthly for at least 12 months prior to construction commencing</w:t>
      </w:r>
    </w:p>
    <w:p w14:paraId="7FA4BBFE" w14:textId="77777777" w:rsidR="00E97EAE" w:rsidRDefault="00E97EAE" w:rsidP="00E97EAE">
      <w:pPr>
        <w:pStyle w:val="ListParagraph"/>
        <w:numPr>
          <w:ilvl w:val="0"/>
          <w:numId w:val="20"/>
        </w:numPr>
        <w:spacing w:line="360" w:lineRule="auto"/>
        <w:ind w:left="714" w:hanging="357"/>
        <w:rPr>
          <w:rFonts w:ascii="Arial" w:eastAsia="Arial" w:hAnsi="Arial" w:cs="Arial"/>
          <w:sz w:val="24"/>
          <w:szCs w:val="24"/>
        </w:rPr>
      </w:pPr>
      <w:r w:rsidRPr="31B67BBD">
        <w:rPr>
          <w:rFonts w:ascii="Arial" w:eastAsia="Arial" w:hAnsi="Arial" w:cs="Arial"/>
          <w:b/>
          <w:bCs/>
          <w:sz w:val="24"/>
          <w:szCs w:val="24"/>
        </w:rPr>
        <w:t>During construction</w:t>
      </w:r>
      <w:r w:rsidRPr="31B67BBD">
        <w:rPr>
          <w:rFonts w:ascii="Arial" w:eastAsia="Arial" w:hAnsi="Arial" w:cs="Arial"/>
          <w:sz w:val="24"/>
          <w:szCs w:val="24"/>
        </w:rPr>
        <w:t xml:space="preserve"> – fortnightly whilst works are ongoing within the relevant buffers</w:t>
      </w:r>
    </w:p>
    <w:p w14:paraId="2B96C990" w14:textId="566A7F76" w:rsidR="00E97EAE" w:rsidRPr="008163E0" w:rsidRDefault="00E97EAE" w:rsidP="00E97EAE">
      <w:pPr>
        <w:pStyle w:val="ListParagraph"/>
        <w:numPr>
          <w:ilvl w:val="0"/>
          <w:numId w:val="20"/>
        </w:numPr>
        <w:spacing w:line="360" w:lineRule="auto"/>
        <w:rPr>
          <w:rFonts w:ascii="Arial" w:eastAsia="Arial" w:hAnsi="Arial" w:cs="Arial"/>
          <w:sz w:val="24"/>
          <w:szCs w:val="24"/>
        </w:rPr>
      </w:pPr>
      <w:r w:rsidRPr="31B67BBD">
        <w:rPr>
          <w:rFonts w:ascii="Arial" w:eastAsia="Arial" w:hAnsi="Arial" w:cs="Arial"/>
          <w:b/>
          <w:bCs/>
          <w:sz w:val="24"/>
          <w:szCs w:val="24"/>
        </w:rPr>
        <w:t>Post construction</w:t>
      </w:r>
      <w:r w:rsidRPr="31B67BBD">
        <w:rPr>
          <w:rFonts w:ascii="Arial" w:eastAsia="Arial" w:hAnsi="Arial" w:cs="Arial"/>
          <w:sz w:val="24"/>
          <w:szCs w:val="24"/>
        </w:rPr>
        <w:t xml:space="preserve"> – monthly for at least 12 months</w:t>
      </w:r>
    </w:p>
    <w:p w14:paraId="38966781" w14:textId="7D0D8971" w:rsidR="008163E0" w:rsidRDefault="00E97EAE" w:rsidP="00E97EAE">
      <w:pPr>
        <w:rPr>
          <w:rFonts w:ascii="Arial" w:eastAsia="Arial" w:hAnsi="Arial" w:cs="Arial"/>
        </w:rPr>
      </w:pPr>
      <w:r w:rsidRPr="31B67BBD">
        <w:rPr>
          <w:rFonts w:ascii="Arial" w:eastAsia="Arial" w:hAnsi="Arial" w:cs="Arial"/>
        </w:rPr>
        <w:t>The water quality monitoring suites are recommended to include:</w:t>
      </w:r>
    </w:p>
    <w:p w14:paraId="47985D01" w14:textId="77777777" w:rsidR="008163E0" w:rsidRDefault="008163E0" w:rsidP="00E97EAE">
      <w:pPr>
        <w:rPr>
          <w:rFonts w:ascii="Arial" w:eastAsia="Arial" w:hAnsi="Arial" w:cs="Arial"/>
        </w:rPr>
      </w:pPr>
    </w:p>
    <w:p w14:paraId="1198400C" w14:textId="77777777" w:rsidR="00E97EAE" w:rsidRDefault="00E97EAE" w:rsidP="00E97EAE">
      <w:pPr>
        <w:pStyle w:val="ListParagraph"/>
        <w:numPr>
          <w:ilvl w:val="0"/>
          <w:numId w:val="17"/>
        </w:numPr>
        <w:spacing w:line="360" w:lineRule="auto"/>
        <w:ind w:left="714" w:hanging="357"/>
        <w:rPr>
          <w:rFonts w:ascii="Arial" w:eastAsia="Arial" w:hAnsi="Arial" w:cs="Arial"/>
          <w:sz w:val="24"/>
          <w:szCs w:val="24"/>
        </w:rPr>
      </w:pPr>
      <w:r w:rsidRPr="31B67BBD">
        <w:rPr>
          <w:rFonts w:ascii="Arial" w:eastAsia="Arial" w:hAnsi="Arial" w:cs="Arial"/>
          <w:sz w:val="24"/>
          <w:szCs w:val="24"/>
        </w:rPr>
        <w:t>pH, electrical conductivity, dissolved oxygen, redox, temperature (these parameters may be measured in the field)</w:t>
      </w:r>
    </w:p>
    <w:p w14:paraId="18DDC768" w14:textId="77777777" w:rsidR="00E97EAE" w:rsidRDefault="00E97EAE" w:rsidP="00E97EAE">
      <w:pPr>
        <w:pStyle w:val="ListParagraph"/>
        <w:numPr>
          <w:ilvl w:val="0"/>
          <w:numId w:val="17"/>
        </w:numPr>
        <w:spacing w:line="360" w:lineRule="auto"/>
        <w:ind w:left="714" w:hanging="357"/>
        <w:rPr>
          <w:rFonts w:ascii="Arial" w:eastAsia="Arial" w:hAnsi="Arial" w:cs="Arial"/>
          <w:sz w:val="24"/>
          <w:szCs w:val="24"/>
        </w:rPr>
      </w:pPr>
      <w:r w:rsidRPr="31B67BBD">
        <w:rPr>
          <w:rFonts w:ascii="Arial" w:eastAsia="Arial" w:hAnsi="Arial" w:cs="Arial"/>
          <w:sz w:val="24"/>
          <w:szCs w:val="24"/>
        </w:rPr>
        <w:t xml:space="preserve">Chloride, alkalinity, sulphate </w:t>
      </w:r>
    </w:p>
    <w:p w14:paraId="0F37995B" w14:textId="77777777" w:rsidR="00E97EAE" w:rsidRPr="00B76532" w:rsidRDefault="00E97EAE" w:rsidP="00E97EAE">
      <w:pPr>
        <w:pStyle w:val="ListParagraph"/>
        <w:numPr>
          <w:ilvl w:val="0"/>
          <w:numId w:val="17"/>
        </w:numPr>
        <w:spacing w:line="360" w:lineRule="auto"/>
        <w:ind w:left="714" w:hanging="357"/>
        <w:rPr>
          <w:rFonts w:ascii="Arial" w:eastAsia="Arial" w:hAnsi="Arial" w:cs="Arial"/>
          <w:sz w:val="24"/>
          <w:szCs w:val="24"/>
        </w:rPr>
      </w:pPr>
      <w:r w:rsidRPr="31B67BBD">
        <w:rPr>
          <w:rFonts w:ascii="Arial" w:eastAsia="Arial" w:hAnsi="Arial" w:cs="Arial"/>
          <w:sz w:val="24"/>
          <w:szCs w:val="24"/>
        </w:rPr>
        <w:t>Sodium, potassium, calcium, magnesium</w:t>
      </w:r>
    </w:p>
    <w:p w14:paraId="6302F0DA" w14:textId="77777777" w:rsidR="00E97EAE" w:rsidRDefault="00E97EAE" w:rsidP="00E97EAE">
      <w:pPr>
        <w:pStyle w:val="ListParagraph"/>
        <w:numPr>
          <w:ilvl w:val="0"/>
          <w:numId w:val="17"/>
        </w:numPr>
        <w:spacing w:line="360" w:lineRule="auto"/>
        <w:ind w:left="714" w:hanging="357"/>
        <w:rPr>
          <w:rFonts w:ascii="Arial" w:eastAsia="Arial" w:hAnsi="Arial" w:cs="Arial"/>
          <w:sz w:val="24"/>
          <w:szCs w:val="24"/>
        </w:rPr>
      </w:pPr>
      <w:r w:rsidRPr="31B67BBD">
        <w:rPr>
          <w:rFonts w:ascii="Arial" w:eastAsia="Arial" w:hAnsi="Arial" w:cs="Arial"/>
          <w:sz w:val="24"/>
          <w:szCs w:val="24"/>
        </w:rPr>
        <w:t>Ammoniacal nitrogen, nitrate, nitrite, orthophosphate</w:t>
      </w:r>
    </w:p>
    <w:p w14:paraId="02DECF43" w14:textId="77777777" w:rsidR="00E97EAE" w:rsidRDefault="00E97EAE" w:rsidP="00E97EAE">
      <w:pPr>
        <w:pStyle w:val="ListParagraph"/>
        <w:numPr>
          <w:ilvl w:val="0"/>
          <w:numId w:val="17"/>
        </w:numPr>
        <w:spacing w:line="360" w:lineRule="auto"/>
        <w:ind w:left="714" w:hanging="357"/>
        <w:rPr>
          <w:rFonts w:ascii="Arial" w:eastAsia="Arial" w:hAnsi="Arial" w:cs="Arial"/>
          <w:sz w:val="24"/>
          <w:szCs w:val="24"/>
        </w:rPr>
      </w:pPr>
      <w:r w:rsidRPr="31B67BBD">
        <w:rPr>
          <w:rFonts w:ascii="Arial" w:eastAsia="Arial" w:hAnsi="Arial" w:cs="Arial"/>
          <w:sz w:val="24"/>
          <w:szCs w:val="24"/>
        </w:rPr>
        <w:t>Biological oxygen demand, chemical oxygen demand</w:t>
      </w:r>
    </w:p>
    <w:p w14:paraId="38C1FEAE" w14:textId="77777777" w:rsidR="00E97EAE" w:rsidRDefault="00E97EAE" w:rsidP="00E97EAE">
      <w:pPr>
        <w:pStyle w:val="ListParagraph"/>
        <w:numPr>
          <w:ilvl w:val="0"/>
          <w:numId w:val="17"/>
        </w:numPr>
        <w:spacing w:line="360" w:lineRule="auto"/>
        <w:ind w:left="714" w:hanging="357"/>
        <w:rPr>
          <w:rFonts w:ascii="Arial" w:eastAsia="Arial" w:hAnsi="Arial" w:cs="Arial"/>
          <w:sz w:val="24"/>
          <w:szCs w:val="24"/>
        </w:rPr>
      </w:pPr>
      <w:r w:rsidRPr="31B67BBD">
        <w:rPr>
          <w:rFonts w:ascii="Arial" w:eastAsia="Arial" w:hAnsi="Arial" w:cs="Arial"/>
          <w:sz w:val="24"/>
          <w:szCs w:val="24"/>
        </w:rPr>
        <w:t>Iron, manganese (total and dissolved)</w:t>
      </w:r>
    </w:p>
    <w:p w14:paraId="05541BAE" w14:textId="77777777" w:rsidR="00E97EAE" w:rsidRDefault="00E97EAE" w:rsidP="00E97EAE">
      <w:pPr>
        <w:pStyle w:val="ListParagraph"/>
        <w:numPr>
          <w:ilvl w:val="0"/>
          <w:numId w:val="17"/>
        </w:numPr>
        <w:spacing w:line="360" w:lineRule="auto"/>
        <w:ind w:left="714" w:hanging="357"/>
        <w:rPr>
          <w:rFonts w:ascii="Arial" w:eastAsia="Arial" w:hAnsi="Arial" w:cs="Arial"/>
          <w:sz w:val="24"/>
          <w:szCs w:val="24"/>
        </w:rPr>
      </w:pPr>
      <w:r w:rsidRPr="31B67BBD">
        <w:rPr>
          <w:rFonts w:ascii="Arial" w:eastAsia="Arial" w:hAnsi="Arial" w:cs="Arial"/>
          <w:sz w:val="24"/>
          <w:szCs w:val="24"/>
        </w:rPr>
        <w:t>Total suspended solids</w:t>
      </w:r>
    </w:p>
    <w:p w14:paraId="06B68AC0" w14:textId="77777777" w:rsidR="00E97EAE" w:rsidRDefault="00E97EAE" w:rsidP="00E97EAE">
      <w:pPr>
        <w:pStyle w:val="ListParagraph"/>
        <w:numPr>
          <w:ilvl w:val="0"/>
          <w:numId w:val="17"/>
        </w:numPr>
        <w:spacing w:line="360" w:lineRule="auto"/>
        <w:ind w:left="714" w:hanging="357"/>
        <w:rPr>
          <w:rFonts w:ascii="Arial" w:eastAsia="Arial" w:hAnsi="Arial" w:cs="Arial"/>
          <w:sz w:val="24"/>
          <w:szCs w:val="24"/>
        </w:rPr>
      </w:pPr>
      <w:r w:rsidRPr="31B67BBD">
        <w:rPr>
          <w:rFonts w:ascii="Arial" w:eastAsia="Arial" w:hAnsi="Arial" w:cs="Arial"/>
          <w:sz w:val="24"/>
          <w:szCs w:val="24"/>
        </w:rPr>
        <w:t>Dissolved organic carbon</w:t>
      </w:r>
    </w:p>
    <w:p w14:paraId="23F5A57E" w14:textId="77777777" w:rsidR="00E97EAE" w:rsidRDefault="00E97EAE" w:rsidP="00E97EAE">
      <w:pPr>
        <w:pStyle w:val="ListParagraph"/>
        <w:numPr>
          <w:ilvl w:val="0"/>
          <w:numId w:val="17"/>
        </w:numPr>
        <w:spacing w:line="360" w:lineRule="auto"/>
        <w:ind w:left="714" w:hanging="357"/>
        <w:rPr>
          <w:rFonts w:ascii="Arial" w:eastAsia="Arial" w:hAnsi="Arial" w:cs="Arial"/>
          <w:sz w:val="24"/>
          <w:szCs w:val="24"/>
        </w:rPr>
      </w:pPr>
      <w:r w:rsidRPr="31B67BBD">
        <w:rPr>
          <w:rFonts w:ascii="Arial" w:eastAsia="Arial" w:hAnsi="Arial" w:cs="Arial"/>
          <w:sz w:val="24"/>
          <w:szCs w:val="24"/>
        </w:rPr>
        <w:t>Colour, turbidity, taste, odour</w:t>
      </w:r>
    </w:p>
    <w:p w14:paraId="21DAA007" w14:textId="77777777" w:rsidR="00E97EAE" w:rsidRDefault="00E97EAE" w:rsidP="00E97EAE">
      <w:pPr>
        <w:pStyle w:val="ListParagraph"/>
        <w:numPr>
          <w:ilvl w:val="0"/>
          <w:numId w:val="17"/>
        </w:numPr>
        <w:spacing w:line="360" w:lineRule="auto"/>
        <w:rPr>
          <w:rFonts w:ascii="Arial" w:eastAsia="Arial" w:hAnsi="Arial" w:cs="Arial"/>
          <w:sz w:val="24"/>
          <w:szCs w:val="24"/>
        </w:rPr>
      </w:pPr>
      <w:r w:rsidRPr="31B67BBD">
        <w:rPr>
          <w:rFonts w:ascii="Arial" w:eastAsia="Arial" w:hAnsi="Arial" w:cs="Arial"/>
          <w:sz w:val="24"/>
          <w:szCs w:val="24"/>
        </w:rPr>
        <w:t>Other parameters relevant to the activities being undertaken or the hydrogeological setting e.g. hydrocarbons, metals, etc.</w:t>
      </w:r>
    </w:p>
    <w:p w14:paraId="5B39EA6F" w14:textId="77777777" w:rsidR="00E97EAE" w:rsidRDefault="00E97EAE" w:rsidP="00E97EAE">
      <w:pPr>
        <w:rPr>
          <w:rFonts w:ascii="Arial" w:eastAsia="Arial" w:hAnsi="Arial" w:cs="Arial"/>
        </w:rPr>
      </w:pPr>
      <w:r w:rsidRPr="31B67BBD">
        <w:rPr>
          <w:rFonts w:ascii="Arial" w:eastAsia="Arial" w:hAnsi="Arial" w:cs="Arial"/>
        </w:rPr>
        <w:t xml:space="preserve">The </w:t>
      </w:r>
      <w:r w:rsidRPr="31B67BBD">
        <w:rPr>
          <w:rFonts w:ascii="Arial" w:eastAsia="Arial" w:hAnsi="Arial" w:cs="Arial"/>
          <w:b/>
          <w:bCs/>
        </w:rPr>
        <w:t>baseline monitoring report</w:t>
      </w:r>
      <w:r w:rsidRPr="31B67BBD">
        <w:rPr>
          <w:rFonts w:ascii="Arial" w:eastAsia="Arial" w:hAnsi="Arial" w:cs="Arial"/>
        </w:rPr>
        <w:t xml:space="preserve"> is recommended to include:</w:t>
      </w:r>
    </w:p>
    <w:p w14:paraId="71B61178" w14:textId="77777777" w:rsidR="008163E0" w:rsidRDefault="008163E0" w:rsidP="00E97EAE">
      <w:pPr>
        <w:rPr>
          <w:rFonts w:ascii="Arial" w:eastAsia="Arial" w:hAnsi="Arial" w:cs="Arial"/>
        </w:rPr>
      </w:pPr>
    </w:p>
    <w:p w14:paraId="57E37F83" w14:textId="77777777" w:rsidR="00E97EAE" w:rsidRDefault="00E97EAE" w:rsidP="00E97EAE">
      <w:pPr>
        <w:pStyle w:val="ListParagraph"/>
        <w:numPr>
          <w:ilvl w:val="0"/>
          <w:numId w:val="19"/>
        </w:numPr>
        <w:spacing w:line="360" w:lineRule="auto"/>
        <w:ind w:left="714" w:hanging="357"/>
        <w:rPr>
          <w:rFonts w:ascii="Arial" w:eastAsia="Arial" w:hAnsi="Arial" w:cs="Arial"/>
          <w:sz w:val="24"/>
          <w:szCs w:val="24"/>
        </w:rPr>
      </w:pPr>
      <w:r w:rsidRPr="31B67BBD">
        <w:rPr>
          <w:rFonts w:ascii="Arial" w:eastAsia="Arial" w:hAnsi="Arial" w:cs="Arial"/>
          <w:sz w:val="24"/>
          <w:szCs w:val="24"/>
        </w:rPr>
        <w:t>Map showing locations of relevant infrastructure / activities, groundwater abstractions, and monitoring points.</w:t>
      </w:r>
    </w:p>
    <w:p w14:paraId="4D9FA09A" w14:textId="77777777" w:rsidR="00E97EAE" w:rsidRDefault="00E97EAE" w:rsidP="00E97EAE">
      <w:pPr>
        <w:pStyle w:val="ListParagraph"/>
        <w:numPr>
          <w:ilvl w:val="0"/>
          <w:numId w:val="19"/>
        </w:numPr>
        <w:spacing w:line="360" w:lineRule="auto"/>
        <w:ind w:left="714" w:hanging="357"/>
        <w:rPr>
          <w:rFonts w:ascii="Arial" w:eastAsia="Arial" w:hAnsi="Arial" w:cs="Arial"/>
          <w:sz w:val="24"/>
          <w:szCs w:val="24"/>
        </w:rPr>
      </w:pPr>
      <w:r w:rsidRPr="31B67BBD">
        <w:rPr>
          <w:rFonts w:ascii="Arial" w:eastAsia="Arial" w:hAnsi="Arial" w:cs="Arial"/>
          <w:sz w:val="24"/>
          <w:szCs w:val="24"/>
        </w:rPr>
        <w:t xml:space="preserve">Details of monitoring points. This should include logs / construction details, location co-ordinates and datum surveyed </w:t>
      </w:r>
      <w:proofErr w:type="gramStart"/>
      <w:r w:rsidRPr="31B67BBD">
        <w:rPr>
          <w:rFonts w:ascii="Arial" w:eastAsia="Arial" w:hAnsi="Arial" w:cs="Arial"/>
          <w:sz w:val="24"/>
          <w:szCs w:val="24"/>
        </w:rPr>
        <w:t>in to</w:t>
      </w:r>
      <w:proofErr w:type="gramEnd"/>
      <w:r w:rsidRPr="31B67BBD">
        <w:rPr>
          <w:rFonts w:ascii="Arial" w:eastAsia="Arial" w:hAnsi="Arial" w:cs="Arial"/>
          <w:sz w:val="24"/>
          <w:szCs w:val="24"/>
        </w:rPr>
        <w:t xml:space="preserve"> Ordnance Datum, and photographs. </w:t>
      </w:r>
    </w:p>
    <w:p w14:paraId="7FE10FE1" w14:textId="77777777" w:rsidR="00E97EAE" w:rsidRDefault="00E97EAE" w:rsidP="00E97EAE">
      <w:pPr>
        <w:pStyle w:val="ListParagraph"/>
        <w:numPr>
          <w:ilvl w:val="0"/>
          <w:numId w:val="19"/>
        </w:numPr>
        <w:spacing w:line="360" w:lineRule="auto"/>
        <w:ind w:left="714" w:hanging="357"/>
        <w:rPr>
          <w:rFonts w:ascii="Arial" w:eastAsia="Arial" w:hAnsi="Arial" w:cs="Arial"/>
          <w:sz w:val="24"/>
          <w:szCs w:val="24"/>
        </w:rPr>
      </w:pPr>
      <w:r w:rsidRPr="31B67BBD">
        <w:rPr>
          <w:rFonts w:ascii="Arial" w:eastAsia="Arial" w:hAnsi="Arial" w:cs="Arial"/>
          <w:sz w:val="24"/>
          <w:szCs w:val="24"/>
        </w:rPr>
        <w:t>Description of monitoring methods and associated QA/QC measures.</w:t>
      </w:r>
    </w:p>
    <w:p w14:paraId="782B2611" w14:textId="77777777" w:rsidR="00E97EAE" w:rsidRDefault="00E97EAE" w:rsidP="00E97EAE">
      <w:pPr>
        <w:pStyle w:val="ListParagraph"/>
        <w:numPr>
          <w:ilvl w:val="0"/>
          <w:numId w:val="19"/>
        </w:numPr>
        <w:spacing w:line="360" w:lineRule="auto"/>
        <w:ind w:left="714" w:hanging="357"/>
        <w:rPr>
          <w:rFonts w:ascii="Arial" w:eastAsia="Arial" w:hAnsi="Arial" w:cs="Arial"/>
          <w:sz w:val="24"/>
          <w:szCs w:val="24"/>
        </w:rPr>
      </w:pPr>
      <w:r w:rsidRPr="31B67BBD">
        <w:rPr>
          <w:rFonts w:ascii="Arial" w:eastAsia="Arial" w:hAnsi="Arial" w:cs="Arial"/>
          <w:sz w:val="24"/>
          <w:szCs w:val="24"/>
        </w:rPr>
        <w:t xml:space="preserve">Factual data in electronic format (e.g. Excel or similar). Laboratory certificates should also be provided for the water quality analysis. </w:t>
      </w:r>
    </w:p>
    <w:p w14:paraId="2A6059C8" w14:textId="77777777" w:rsidR="00E97EAE" w:rsidRDefault="00E97EAE" w:rsidP="00E97EAE">
      <w:pPr>
        <w:pStyle w:val="ListParagraph"/>
        <w:numPr>
          <w:ilvl w:val="0"/>
          <w:numId w:val="19"/>
        </w:numPr>
        <w:spacing w:line="360" w:lineRule="auto"/>
        <w:ind w:left="714" w:hanging="357"/>
        <w:rPr>
          <w:rFonts w:ascii="Arial" w:eastAsia="Arial" w:hAnsi="Arial" w:cs="Arial"/>
          <w:sz w:val="24"/>
          <w:szCs w:val="24"/>
        </w:rPr>
      </w:pPr>
      <w:r w:rsidRPr="31B67BBD">
        <w:rPr>
          <w:rFonts w:ascii="Arial" w:eastAsia="Arial" w:hAnsi="Arial" w:cs="Arial"/>
          <w:sz w:val="24"/>
          <w:szCs w:val="24"/>
        </w:rPr>
        <w:t>Interpretation of the data including statistical assessment of any spatial or temporal trends. The use of control charts</w:t>
      </w:r>
      <w:r w:rsidRPr="31B67BBD">
        <w:rPr>
          <w:rStyle w:val="FootnoteReference"/>
          <w:rFonts w:ascii="Arial" w:eastAsia="Arial" w:hAnsi="Arial" w:cs="Arial"/>
          <w:sz w:val="24"/>
          <w:szCs w:val="24"/>
        </w:rPr>
        <w:footnoteReference w:id="2"/>
      </w:r>
      <w:r w:rsidRPr="31B67BBD">
        <w:rPr>
          <w:rFonts w:ascii="Arial" w:eastAsia="Arial" w:hAnsi="Arial" w:cs="Arial"/>
          <w:sz w:val="24"/>
          <w:szCs w:val="24"/>
        </w:rPr>
        <w:t xml:space="preserve"> is highly recommended.</w:t>
      </w:r>
    </w:p>
    <w:p w14:paraId="4D610E05" w14:textId="77777777" w:rsidR="00E97EAE" w:rsidRPr="00645EE9" w:rsidRDefault="00E97EAE" w:rsidP="00E97EAE">
      <w:pPr>
        <w:pStyle w:val="ListParagraph"/>
        <w:numPr>
          <w:ilvl w:val="0"/>
          <w:numId w:val="19"/>
        </w:numPr>
        <w:spacing w:line="360" w:lineRule="auto"/>
        <w:rPr>
          <w:rFonts w:ascii="Arial" w:eastAsia="Arial" w:hAnsi="Arial" w:cs="Arial"/>
          <w:sz w:val="24"/>
          <w:szCs w:val="24"/>
        </w:rPr>
      </w:pPr>
      <w:r w:rsidRPr="31B67BBD">
        <w:rPr>
          <w:rFonts w:ascii="Arial" w:eastAsia="Arial" w:hAnsi="Arial" w:cs="Arial"/>
          <w:sz w:val="24"/>
          <w:szCs w:val="24"/>
        </w:rPr>
        <w:lastRenderedPageBreak/>
        <w:t xml:space="preserve">Recommendations for any amendments to the scope of future monitoring. </w:t>
      </w:r>
    </w:p>
    <w:p w14:paraId="1F63B0C8" w14:textId="77777777" w:rsidR="00E97EAE" w:rsidRDefault="00E97EAE" w:rsidP="00E97EAE">
      <w:pPr>
        <w:rPr>
          <w:rFonts w:ascii="Arial" w:eastAsia="Arial" w:hAnsi="Arial" w:cs="Arial"/>
        </w:rPr>
      </w:pPr>
      <w:r w:rsidRPr="31B67BBD">
        <w:rPr>
          <w:rFonts w:ascii="Arial" w:eastAsia="Arial" w:hAnsi="Arial" w:cs="Arial"/>
        </w:rPr>
        <w:t xml:space="preserve">Subsequent </w:t>
      </w:r>
      <w:r w:rsidRPr="31B67BBD">
        <w:rPr>
          <w:rFonts w:ascii="Arial" w:eastAsia="Arial" w:hAnsi="Arial" w:cs="Arial"/>
          <w:b/>
          <w:bCs/>
        </w:rPr>
        <w:t>annual monitoring reporting</w:t>
      </w:r>
      <w:r w:rsidRPr="31B67BBD">
        <w:rPr>
          <w:rFonts w:ascii="Arial" w:eastAsia="Arial" w:hAnsi="Arial" w:cs="Arial"/>
        </w:rPr>
        <w:t xml:space="preserve"> is recommended to include:</w:t>
      </w:r>
    </w:p>
    <w:p w14:paraId="6B9740D3" w14:textId="77777777" w:rsidR="008163E0" w:rsidRDefault="008163E0" w:rsidP="00E97EAE">
      <w:pPr>
        <w:rPr>
          <w:rFonts w:ascii="Arial" w:eastAsia="Arial" w:hAnsi="Arial" w:cs="Arial"/>
        </w:rPr>
      </w:pPr>
    </w:p>
    <w:p w14:paraId="4E81AFC3" w14:textId="77777777" w:rsidR="00E97EAE" w:rsidRDefault="00E97EAE" w:rsidP="00E97EAE">
      <w:pPr>
        <w:pStyle w:val="ListParagraph"/>
        <w:numPr>
          <w:ilvl w:val="0"/>
          <w:numId w:val="18"/>
        </w:numPr>
        <w:spacing w:line="360" w:lineRule="auto"/>
        <w:ind w:left="714" w:hanging="357"/>
        <w:rPr>
          <w:rFonts w:ascii="Arial" w:eastAsia="Arial" w:hAnsi="Arial" w:cs="Arial"/>
          <w:sz w:val="24"/>
          <w:szCs w:val="24"/>
        </w:rPr>
      </w:pPr>
      <w:r w:rsidRPr="31B67BBD">
        <w:rPr>
          <w:rFonts w:ascii="Arial" w:eastAsia="Arial" w:hAnsi="Arial" w:cs="Arial"/>
          <w:sz w:val="24"/>
          <w:szCs w:val="24"/>
        </w:rPr>
        <w:t>A summary of monitoring undertaken, including detailed explanation of any amendments or omissions from the agreed scope of monitoring.</w:t>
      </w:r>
    </w:p>
    <w:p w14:paraId="6040B423" w14:textId="77777777" w:rsidR="00E97EAE" w:rsidRDefault="00E97EAE" w:rsidP="00E97EAE">
      <w:pPr>
        <w:pStyle w:val="ListParagraph"/>
        <w:numPr>
          <w:ilvl w:val="0"/>
          <w:numId w:val="18"/>
        </w:numPr>
        <w:spacing w:line="360" w:lineRule="auto"/>
        <w:ind w:left="714" w:hanging="357"/>
        <w:rPr>
          <w:rFonts w:ascii="Arial" w:eastAsia="Arial" w:hAnsi="Arial" w:cs="Arial"/>
          <w:sz w:val="24"/>
          <w:szCs w:val="24"/>
        </w:rPr>
      </w:pPr>
      <w:r w:rsidRPr="31B67BBD">
        <w:rPr>
          <w:rFonts w:ascii="Arial" w:eastAsia="Arial" w:hAnsi="Arial" w:cs="Arial"/>
          <w:sz w:val="24"/>
          <w:szCs w:val="24"/>
        </w:rPr>
        <w:t xml:space="preserve">Factual data in electronic format (e.g. Excel or similar). Laboratory certificates should also be provided for the water quality analysis. </w:t>
      </w:r>
    </w:p>
    <w:p w14:paraId="2D4B9CED" w14:textId="77777777" w:rsidR="00E97EAE" w:rsidRDefault="00E97EAE" w:rsidP="00E97EAE">
      <w:pPr>
        <w:pStyle w:val="ListParagraph"/>
        <w:numPr>
          <w:ilvl w:val="0"/>
          <w:numId w:val="18"/>
        </w:numPr>
        <w:spacing w:line="360" w:lineRule="auto"/>
        <w:ind w:left="714" w:hanging="357"/>
        <w:rPr>
          <w:rFonts w:ascii="Arial" w:eastAsia="Arial" w:hAnsi="Arial" w:cs="Arial"/>
          <w:sz w:val="24"/>
          <w:szCs w:val="24"/>
        </w:rPr>
      </w:pPr>
      <w:r w:rsidRPr="31B67BBD">
        <w:rPr>
          <w:rFonts w:ascii="Arial" w:eastAsia="Arial" w:hAnsi="Arial" w:cs="Arial"/>
          <w:sz w:val="24"/>
          <w:szCs w:val="24"/>
        </w:rPr>
        <w:t>Photographs of monitoring points.</w:t>
      </w:r>
    </w:p>
    <w:p w14:paraId="48CFED64" w14:textId="77777777" w:rsidR="00E97EAE" w:rsidRDefault="00E97EAE" w:rsidP="00E97EAE">
      <w:pPr>
        <w:pStyle w:val="ListParagraph"/>
        <w:numPr>
          <w:ilvl w:val="0"/>
          <w:numId w:val="18"/>
        </w:numPr>
        <w:spacing w:line="360" w:lineRule="auto"/>
        <w:ind w:left="714" w:hanging="357"/>
        <w:rPr>
          <w:rFonts w:ascii="Arial" w:eastAsia="Arial" w:hAnsi="Arial" w:cs="Arial"/>
          <w:sz w:val="24"/>
          <w:szCs w:val="24"/>
        </w:rPr>
      </w:pPr>
      <w:r w:rsidRPr="31B67BBD">
        <w:rPr>
          <w:rFonts w:ascii="Arial" w:eastAsia="Arial" w:hAnsi="Arial" w:cs="Arial"/>
          <w:sz w:val="24"/>
          <w:szCs w:val="24"/>
        </w:rPr>
        <w:t>Interpretation of the data including statistical assessment of any spatial or temporal trends. This should include assessment of whether there are any statistically significant (P &lt;0.05) changes compared with the baseline dataset. The use of control charts is highly recommended.</w:t>
      </w:r>
    </w:p>
    <w:p w14:paraId="6BD2DF21" w14:textId="77777777" w:rsidR="00E97EAE" w:rsidRPr="00376E31" w:rsidRDefault="00E97EAE" w:rsidP="00E97EAE">
      <w:pPr>
        <w:pStyle w:val="ListParagraph"/>
        <w:numPr>
          <w:ilvl w:val="0"/>
          <w:numId w:val="18"/>
        </w:numPr>
        <w:spacing w:line="360" w:lineRule="auto"/>
        <w:ind w:left="714" w:hanging="357"/>
        <w:rPr>
          <w:rFonts w:ascii="Arial" w:eastAsia="Arial" w:hAnsi="Arial" w:cs="Arial"/>
          <w:sz w:val="24"/>
          <w:szCs w:val="24"/>
        </w:rPr>
      </w:pPr>
      <w:r w:rsidRPr="31B67BBD">
        <w:rPr>
          <w:rFonts w:ascii="Arial" w:eastAsia="Arial" w:hAnsi="Arial" w:cs="Arial"/>
          <w:sz w:val="24"/>
          <w:szCs w:val="24"/>
        </w:rPr>
        <w:t>Summary of any exceedances of agreed compliance metrics.</w:t>
      </w:r>
    </w:p>
    <w:p w14:paraId="13C6F1F9" w14:textId="77777777" w:rsidR="00E97EAE" w:rsidRDefault="00E97EAE" w:rsidP="00E97EAE">
      <w:pPr>
        <w:pStyle w:val="ListParagraph"/>
        <w:numPr>
          <w:ilvl w:val="0"/>
          <w:numId w:val="18"/>
        </w:numPr>
        <w:spacing w:line="360" w:lineRule="auto"/>
        <w:ind w:left="714" w:hanging="357"/>
        <w:rPr>
          <w:rFonts w:ascii="Arial" w:eastAsia="Arial" w:hAnsi="Arial" w:cs="Arial"/>
          <w:sz w:val="24"/>
          <w:szCs w:val="24"/>
        </w:rPr>
      </w:pPr>
      <w:r w:rsidRPr="31B67BBD">
        <w:rPr>
          <w:rFonts w:ascii="Arial" w:eastAsia="Arial" w:hAnsi="Arial" w:cs="Arial"/>
          <w:sz w:val="24"/>
          <w:szCs w:val="24"/>
        </w:rPr>
        <w:t xml:space="preserve">Assessment of whether any significant impacts have occurred or are likely to occur at the groundwater abstractions. This should include interpretation as to the likely reason(s) why this has occurred. </w:t>
      </w:r>
    </w:p>
    <w:p w14:paraId="1ECB740D" w14:textId="6DAD66B8" w:rsidR="00E97EAE" w:rsidRPr="008163E0" w:rsidRDefault="00E97EAE" w:rsidP="00E97EAE">
      <w:pPr>
        <w:pStyle w:val="ListParagraph"/>
        <w:numPr>
          <w:ilvl w:val="0"/>
          <w:numId w:val="18"/>
        </w:numPr>
        <w:spacing w:line="360" w:lineRule="auto"/>
        <w:rPr>
          <w:rFonts w:ascii="Arial" w:eastAsia="Arial" w:hAnsi="Arial" w:cs="Arial"/>
          <w:sz w:val="24"/>
          <w:szCs w:val="24"/>
        </w:rPr>
      </w:pPr>
      <w:r w:rsidRPr="31B67BBD">
        <w:rPr>
          <w:rFonts w:ascii="Arial" w:eastAsia="Arial" w:hAnsi="Arial" w:cs="Arial"/>
          <w:sz w:val="24"/>
          <w:szCs w:val="24"/>
        </w:rPr>
        <w:t xml:space="preserve">Recommendations for any remedial works required to address any issues identified, including any associated additional monitoring. If any of the remedial actions have been implemented ahead of reporting, a summary of the works undertaken should be provided.  </w:t>
      </w:r>
    </w:p>
    <w:p w14:paraId="7E2FD4D6" w14:textId="77777777" w:rsidR="00E97EAE" w:rsidRDefault="00E97EAE" w:rsidP="00E97EAE">
      <w:pPr>
        <w:rPr>
          <w:rFonts w:ascii="Arial" w:hAnsi="Arial" w:cs="Arial"/>
        </w:rPr>
      </w:pPr>
      <w:r w:rsidRPr="31B67BBD">
        <w:rPr>
          <w:rFonts w:ascii="Arial" w:eastAsia="Arial" w:hAnsi="Arial" w:cs="Arial"/>
        </w:rPr>
        <w:t xml:space="preserve">The monitoring results should be reported to the Local Authority and the owner/operator of the existing abstractions. </w:t>
      </w:r>
      <w:r w:rsidRPr="31B67BBD">
        <w:rPr>
          <w:rFonts w:ascii="Arial" w:eastAsia="Arial" w:hAnsi="Arial" w:cs="Arial"/>
          <w:b/>
          <w:bCs/>
        </w:rPr>
        <w:t>There is no requirement to submit the monitoring data to SEPA. SEPA will not review the monitoring data unless the Local Authority has identified specific issues of significant concern.</w:t>
      </w:r>
      <w:r w:rsidRPr="31B67BBD">
        <w:rPr>
          <w:rFonts w:ascii="Arial" w:eastAsia="Arial" w:hAnsi="Arial" w:cs="Arial"/>
        </w:rPr>
        <w:t xml:space="preserve"> </w:t>
      </w:r>
      <w:r w:rsidRPr="31B67BBD">
        <w:rPr>
          <w:rFonts w:ascii="Arial" w:hAnsi="Arial" w:cs="Arial"/>
        </w:rPr>
        <w:t xml:space="preserve"> </w:t>
      </w:r>
    </w:p>
    <w:p w14:paraId="0C0505D7" w14:textId="77777777" w:rsidR="00E97EAE" w:rsidRPr="00150DDD" w:rsidRDefault="00E97EAE" w:rsidP="00E97EAE">
      <w:pPr>
        <w:rPr>
          <w:rFonts w:ascii="Arial" w:hAnsi="Arial" w:cs="Arial"/>
        </w:rPr>
      </w:pPr>
    </w:p>
    <w:p w14:paraId="0ECC28AE" w14:textId="77777777" w:rsidR="006243FF" w:rsidRDefault="006243FF" w:rsidP="64367E61">
      <w:pPr>
        <w:pStyle w:val="BodyText1"/>
        <w:rPr>
          <w:color w:val="6E7571" w:themeColor="text2"/>
          <w:sz w:val="32"/>
          <w:szCs w:val="32"/>
          <w:u w:val="single"/>
        </w:rPr>
      </w:pPr>
    </w:p>
    <w:p w14:paraId="00F2DB85" w14:textId="77777777" w:rsidR="00DE78E4" w:rsidRDefault="00DE78E4" w:rsidP="64367E61">
      <w:pPr>
        <w:pStyle w:val="BodyText1"/>
        <w:rPr>
          <w:color w:val="6E7571" w:themeColor="text2"/>
          <w:sz w:val="32"/>
          <w:szCs w:val="32"/>
          <w:u w:val="single"/>
        </w:rPr>
      </w:pPr>
    </w:p>
    <w:p w14:paraId="3BA7E02C" w14:textId="77777777" w:rsidR="00DE78E4" w:rsidRDefault="00DE78E4" w:rsidP="64367E61">
      <w:pPr>
        <w:pStyle w:val="BodyText1"/>
        <w:rPr>
          <w:color w:val="6E7571" w:themeColor="text2"/>
          <w:sz w:val="32"/>
          <w:szCs w:val="32"/>
          <w:u w:val="single"/>
        </w:rPr>
      </w:pPr>
    </w:p>
    <w:p w14:paraId="3A6DE61E" w14:textId="77777777" w:rsidR="00DE78E4" w:rsidRDefault="00DE78E4" w:rsidP="64367E61">
      <w:pPr>
        <w:pStyle w:val="BodyText1"/>
        <w:rPr>
          <w:color w:val="6E7571" w:themeColor="text2"/>
          <w:sz w:val="32"/>
          <w:szCs w:val="32"/>
          <w:u w:val="single"/>
        </w:rPr>
      </w:pPr>
    </w:p>
    <w:p w14:paraId="609851AF" w14:textId="77777777" w:rsidR="00DE78E4" w:rsidRPr="00E67C75" w:rsidRDefault="00DE78E4" w:rsidP="64367E61">
      <w:pPr>
        <w:pStyle w:val="BodyText1"/>
        <w:rPr>
          <w:color w:val="6E7571" w:themeColor="text2"/>
          <w:sz w:val="32"/>
          <w:szCs w:val="32"/>
          <w:u w:val="single"/>
        </w:rPr>
      </w:pPr>
    </w:p>
    <w:sectPr w:rsidR="00DE78E4" w:rsidRPr="00E67C75" w:rsidSect="006A6137">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C5104" w14:textId="77777777" w:rsidR="009C43C7" w:rsidRDefault="009C43C7" w:rsidP="00660C79">
      <w:pPr>
        <w:spacing w:line="240" w:lineRule="auto"/>
      </w:pPr>
      <w:r>
        <w:separator/>
      </w:r>
    </w:p>
  </w:endnote>
  <w:endnote w:type="continuationSeparator" w:id="0">
    <w:p w14:paraId="166189FD" w14:textId="77777777" w:rsidR="009C43C7" w:rsidRDefault="009C43C7" w:rsidP="00660C79">
      <w:pPr>
        <w:spacing w:line="240" w:lineRule="auto"/>
      </w:pPr>
      <w:r>
        <w:continuationSeparator/>
      </w:r>
    </w:p>
  </w:endnote>
  <w:endnote w:type="continuationNotice" w:id="1">
    <w:p w14:paraId="4FBF1102" w14:textId="77777777" w:rsidR="009C43C7" w:rsidRDefault="009C43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EA44"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759FD003" wp14:editId="0EFBED7E">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40B9F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dec="http://schemas.microsoft.com/office/drawing/2017/decorative" xmlns:aclsh="http://schemas.microsoft.com/office/drawing/2020/classificationShape" xmlns:arto="http://schemas.microsoft.com/office/word/2006/arto">
          <w:pict>
            <v:shapetype id="_x0000_t202" coordsize="21600,21600" o:spt="202" path="m,l,21600r21600,l21600,xe" w14:anchorId="759FD003">
              <v:stroke joinstyle="miter"/>
              <v:path gradientshapeok="t" o:connecttype="rect"/>
            </v:shapetype>
            <v:shape id="Text Box 11"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alt="&quot;&quo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751749" w:rsidR="00751749" w:rsidP="00751749" w:rsidRDefault="00751749" w14:paraId="4F40B9F5" w14:textId="77777777">
                    <w:pPr>
                      <w:rPr>
                        <w:rFonts w:ascii="Calibri" w:hAnsi="Calibri" w:eastAsia="Calibri" w:cs="Calibri"/>
                        <w:noProof/>
                        <w:color w:val="0000FF"/>
                        <w:sz w:val="20"/>
                        <w:szCs w:val="20"/>
                      </w:rPr>
                    </w:pPr>
                    <w:r w:rsidRPr="00751749">
                      <w:rPr>
                        <w:rFonts w:ascii="Calibri" w:hAnsi="Calibri" w:eastAsia="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63592185"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D67DDF4"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BAD66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E85E" w14:textId="77777777" w:rsidR="00EC6A73" w:rsidRDefault="00751749" w:rsidP="00917BB1">
    <w:pPr>
      <w:pStyle w:val="Footer"/>
      <w:ind w:right="360"/>
    </w:pPr>
    <w:r>
      <w:rPr>
        <w:noProof/>
      </w:rPr>
      <mc:AlternateContent>
        <mc:Choice Requires="wps">
          <w:drawing>
            <wp:anchor distT="0" distB="0" distL="0" distR="0" simplePos="0" relativeHeight="251658246" behindDoc="0" locked="0" layoutInCell="1" allowOverlap="1" wp14:anchorId="71D2C2A1" wp14:editId="3D817BBF">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95375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dec="http://schemas.microsoft.com/office/drawing/2017/decorative" xmlns:aclsh="http://schemas.microsoft.com/office/drawing/2020/classificationShape" xmlns:pic="http://schemas.openxmlformats.org/drawingml/2006/picture" xmlns:a14="http://schemas.microsoft.com/office/drawing/2010/main" xmlns:arto="http://schemas.microsoft.com/office/word/2006/arto">
          <w:pict>
            <v:shapetype id="_x0000_t202" coordsize="21600,21600" o:spt="202" path="m,l,21600r21600,l21600,xe" w14:anchorId="71D2C2A1">
              <v:stroke joinstyle="miter"/>
              <v:path gradientshapeok="t" o:connecttype="rect"/>
            </v:shapetype>
            <v:shape id="Text Box 12"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alt="&quot;&quot;"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751749" w:rsidR="00751749" w:rsidP="00751749" w:rsidRDefault="00751749" w14:paraId="6495375E" w14:textId="77777777">
                    <w:pPr>
                      <w:rPr>
                        <w:rFonts w:ascii="Calibri" w:hAnsi="Calibri" w:eastAsia="Calibri" w:cs="Calibri"/>
                        <w:noProof/>
                        <w:color w:val="0000FF"/>
                        <w:sz w:val="20"/>
                        <w:szCs w:val="20"/>
                      </w:rPr>
                    </w:pPr>
                    <w:r w:rsidRPr="00751749">
                      <w:rPr>
                        <w:rFonts w:ascii="Calibri" w:hAnsi="Calibri" w:eastAsia="Calibri" w:cs="Calibri"/>
                        <w:noProof/>
                        <w:color w:val="0000FF"/>
                        <w:sz w:val="20"/>
                        <w:szCs w:val="20"/>
                      </w:rPr>
                      <w:t>OFFICIAL</w:t>
                    </w:r>
                  </w:p>
                </w:txbxContent>
              </v:textbox>
              <w10:wrap anchorx="page" anchory="page"/>
            </v:shape>
          </w:pict>
        </mc:Fallback>
      </mc:AlternateContent>
    </w:r>
  </w:p>
  <w:p w14:paraId="2B9C3D62"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2B751F89" wp14:editId="474799BE">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clsh="http://schemas.microsoft.com/office/drawing/2020/classificationShape" xmlns:pic="http://schemas.openxmlformats.org/drawingml/2006/picture" xmlns:a14="http://schemas.microsoft.com/office/drawing/2010/main" xmlns:arto="http://schemas.microsoft.com/office/word/2006/arto">
          <w:pict>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7846F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23EBAD4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6313A6" w14:textId="77777777" w:rsidR="00917BB1" w:rsidRDefault="00917BB1" w:rsidP="00917BB1">
    <w:pPr>
      <w:pStyle w:val="Footer"/>
      <w:ind w:right="360"/>
    </w:pPr>
    <w:r>
      <w:rPr>
        <w:noProof/>
      </w:rPr>
      <w:drawing>
        <wp:inline distT="0" distB="0" distL="0" distR="0" wp14:anchorId="20E1F919" wp14:editId="181DFD37">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91B13"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73AE03FD" wp14:editId="75DC0515">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2B720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dec="http://schemas.microsoft.com/office/drawing/2017/decorative" xmlns:aclsh="http://schemas.microsoft.com/office/drawing/2020/classificationShape" xmlns:arto="http://schemas.microsoft.com/office/word/2006/arto">
          <w:pict>
            <v:shapetype id="_x0000_t202" coordsize="21600,21600" o:spt="202" path="m,l,21600r21600,l21600,xe" w14:anchorId="73AE03FD">
              <v:stroke joinstyle="miter"/>
              <v:path gradientshapeok="t" o:connecttype="rect"/>
            </v:shapetype>
            <v:shape id="Text Box 9"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alt="&quot;&quot;"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textbox style="mso-fit-shape-to-text:t" inset="0,0,0,15pt">
                <w:txbxContent>
                  <w:p w:rsidRPr="00751749" w:rsidR="00751749" w:rsidP="00751749" w:rsidRDefault="00751749" w14:paraId="6D2B7206" w14:textId="77777777">
                    <w:pPr>
                      <w:rPr>
                        <w:rFonts w:ascii="Calibri" w:hAnsi="Calibri" w:eastAsia="Calibri" w:cs="Calibri"/>
                        <w:noProof/>
                        <w:color w:val="0000FF"/>
                        <w:sz w:val="20"/>
                        <w:szCs w:val="20"/>
                      </w:rPr>
                    </w:pPr>
                    <w:r w:rsidRPr="00751749">
                      <w:rPr>
                        <w:rFonts w:ascii="Calibri" w:hAnsi="Calibri" w:eastAsia="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B0FF6" w14:textId="77777777" w:rsidR="009C43C7" w:rsidRDefault="009C43C7" w:rsidP="00660C79">
      <w:pPr>
        <w:spacing w:line="240" w:lineRule="auto"/>
      </w:pPr>
      <w:r>
        <w:separator/>
      </w:r>
    </w:p>
  </w:footnote>
  <w:footnote w:type="continuationSeparator" w:id="0">
    <w:p w14:paraId="1032B95D" w14:textId="77777777" w:rsidR="009C43C7" w:rsidRDefault="009C43C7" w:rsidP="00660C79">
      <w:pPr>
        <w:spacing w:line="240" w:lineRule="auto"/>
      </w:pPr>
      <w:r>
        <w:continuationSeparator/>
      </w:r>
    </w:p>
  </w:footnote>
  <w:footnote w:type="continuationNotice" w:id="1">
    <w:p w14:paraId="1C4112C7" w14:textId="77777777" w:rsidR="009C43C7" w:rsidRDefault="009C43C7">
      <w:pPr>
        <w:spacing w:line="240" w:lineRule="auto"/>
      </w:pPr>
    </w:p>
  </w:footnote>
  <w:footnote w:id="2">
    <w:p w14:paraId="37BDB264" w14:textId="3E5DE222" w:rsidR="00E97EAE" w:rsidRDefault="00E97EAE" w:rsidP="00E97EA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66463"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0B146572" wp14:editId="2884710D">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09934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dec="http://schemas.microsoft.com/office/drawing/2017/decorative" xmlns:aclsh="http://schemas.microsoft.com/office/drawing/2020/classificationShape" xmlns:arto="http://schemas.microsoft.com/office/word/2006/arto">
          <w:pict>
            <v:shapetype id="_x0000_t202" coordsize="21600,21600" o:spt="202" path="m,l,21600r21600,l21600,xe" w14:anchorId="0B146572">
              <v:stroke joinstyle="miter"/>
              <v:path gradientshapeok="t" o:connecttype="rect"/>
            </v:shapetype>
            <v:shape id="Text Box 6"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alt="&quot;&quo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751749" w:rsidR="00751749" w:rsidP="00751749" w:rsidRDefault="00751749" w14:paraId="1E09934F" w14:textId="77777777">
                    <w:pPr>
                      <w:rPr>
                        <w:rFonts w:ascii="Calibri" w:hAnsi="Calibri" w:eastAsia="Calibri" w:cs="Calibri"/>
                        <w:noProof/>
                        <w:color w:val="0000FF"/>
                        <w:sz w:val="20"/>
                        <w:szCs w:val="20"/>
                      </w:rPr>
                    </w:pPr>
                    <w:r w:rsidRPr="00751749">
                      <w:rPr>
                        <w:rFonts w:ascii="Calibri" w:hAnsi="Calibri" w:eastAsia="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EB42D"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1BCC534" wp14:editId="01E6282C">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rto="http://schemas.microsoft.com/office/word/2006/arto">
          <w:pict>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75785A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61D1"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5187E53F" wp14:editId="6572798D">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E515C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dec="http://schemas.microsoft.com/office/drawing/2017/decorative" xmlns:aclsh="http://schemas.microsoft.com/office/drawing/2020/classificationShape" xmlns:arto="http://schemas.microsoft.com/office/word/2006/arto">
          <w:pict>
            <v:shapetype id="_x0000_t202" coordsize="21600,21600" o:spt="202" path="m,l,21600r21600,l21600,xe" w14:anchorId="5187E53F">
              <v:stroke joinstyle="miter"/>
              <v:path gradientshapeok="t" o:connecttype="rect"/>
            </v:shapetype>
            <v:shape id="Text Box 1"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alt="&quot;&quot;"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v:textbox style="mso-fit-shape-to-text:t" inset="0,15pt,0,0">
                <w:txbxContent>
                  <w:p w:rsidRPr="00751749" w:rsidR="00751749" w:rsidP="00751749" w:rsidRDefault="00751749" w14:paraId="20E515C7" w14:textId="77777777">
                    <w:pPr>
                      <w:rPr>
                        <w:rFonts w:ascii="Calibri" w:hAnsi="Calibri" w:eastAsia="Calibri" w:cs="Calibri"/>
                        <w:noProof/>
                        <w:color w:val="0000FF"/>
                        <w:sz w:val="20"/>
                        <w:szCs w:val="20"/>
                      </w:rPr>
                    </w:pPr>
                    <w:r w:rsidRPr="00751749">
                      <w:rPr>
                        <w:rFonts w:ascii="Calibri" w:hAnsi="Calibri" w:eastAsia="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2B35AB"/>
    <w:multiLevelType w:val="hybridMultilevel"/>
    <w:tmpl w:val="57ACD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A35A44"/>
    <w:multiLevelType w:val="hybridMultilevel"/>
    <w:tmpl w:val="3528C3D0"/>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3" w15:restartNumberingAfterBreak="0">
    <w:nsid w:val="4CF05D98"/>
    <w:multiLevelType w:val="hybridMultilevel"/>
    <w:tmpl w:val="97C86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AC04DC"/>
    <w:multiLevelType w:val="hybridMultilevel"/>
    <w:tmpl w:val="51D86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BB6BE0"/>
    <w:multiLevelType w:val="hybridMultilevel"/>
    <w:tmpl w:val="73DA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6E6FAB"/>
    <w:multiLevelType w:val="hybridMultilevel"/>
    <w:tmpl w:val="A82AF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1311DF"/>
    <w:multiLevelType w:val="hybridMultilevel"/>
    <w:tmpl w:val="A4189E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AC41B8"/>
    <w:multiLevelType w:val="hybridMultilevel"/>
    <w:tmpl w:val="E0666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090039"/>
    <w:multiLevelType w:val="hybridMultilevel"/>
    <w:tmpl w:val="51685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17"/>
  </w:num>
  <w:num w:numId="12" w16cid:durableId="791052000">
    <w:abstractNumId w:val="11"/>
  </w:num>
  <w:num w:numId="13" w16cid:durableId="593785568">
    <w:abstractNumId w:val="20"/>
  </w:num>
  <w:num w:numId="14" w16cid:durableId="1074162219">
    <w:abstractNumId w:val="12"/>
  </w:num>
  <w:num w:numId="15" w16cid:durableId="1055936503">
    <w:abstractNumId w:val="18"/>
  </w:num>
  <w:num w:numId="16" w16cid:durableId="881593148">
    <w:abstractNumId w:val="10"/>
  </w:num>
  <w:num w:numId="17" w16cid:durableId="411044940">
    <w:abstractNumId w:val="19"/>
  </w:num>
  <w:num w:numId="18" w16cid:durableId="945697894">
    <w:abstractNumId w:val="16"/>
  </w:num>
  <w:num w:numId="19" w16cid:durableId="224143558">
    <w:abstractNumId w:val="14"/>
  </w:num>
  <w:num w:numId="20" w16cid:durableId="1867324757">
    <w:abstractNumId w:val="21"/>
  </w:num>
  <w:num w:numId="21" w16cid:durableId="1575163170">
    <w:abstractNumId w:val="15"/>
  </w:num>
  <w:num w:numId="22" w16cid:durableId="21182121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861"/>
    <w:rsid w:val="00027CEE"/>
    <w:rsid w:val="0003257F"/>
    <w:rsid w:val="00032829"/>
    <w:rsid w:val="00040561"/>
    <w:rsid w:val="00047A8D"/>
    <w:rsid w:val="00070937"/>
    <w:rsid w:val="000B7559"/>
    <w:rsid w:val="000C1B83"/>
    <w:rsid w:val="000E0D15"/>
    <w:rsid w:val="000F4F1E"/>
    <w:rsid w:val="00105F31"/>
    <w:rsid w:val="001E4E9F"/>
    <w:rsid w:val="001F1151"/>
    <w:rsid w:val="002043BF"/>
    <w:rsid w:val="00236552"/>
    <w:rsid w:val="00281BB1"/>
    <w:rsid w:val="00290B1F"/>
    <w:rsid w:val="002D1889"/>
    <w:rsid w:val="002D3A54"/>
    <w:rsid w:val="0030096D"/>
    <w:rsid w:val="00317618"/>
    <w:rsid w:val="00394726"/>
    <w:rsid w:val="003A69EB"/>
    <w:rsid w:val="003C18F4"/>
    <w:rsid w:val="003E1F7B"/>
    <w:rsid w:val="003F5384"/>
    <w:rsid w:val="004073BC"/>
    <w:rsid w:val="004133B7"/>
    <w:rsid w:val="00444AA1"/>
    <w:rsid w:val="00447E1B"/>
    <w:rsid w:val="004B79BB"/>
    <w:rsid w:val="004C7F30"/>
    <w:rsid w:val="004E1575"/>
    <w:rsid w:val="004F54CF"/>
    <w:rsid w:val="005034D9"/>
    <w:rsid w:val="00516A69"/>
    <w:rsid w:val="00543861"/>
    <w:rsid w:val="00551989"/>
    <w:rsid w:val="00587EA6"/>
    <w:rsid w:val="005A355E"/>
    <w:rsid w:val="005D1213"/>
    <w:rsid w:val="00610EBF"/>
    <w:rsid w:val="006243FF"/>
    <w:rsid w:val="00660C79"/>
    <w:rsid w:val="00684F5A"/>
    <w:rsid w:val="00693F0B"/>
    <w:rsid w:val="006A6137"/>
    <w:rsid w:val="006B3C8F"/>
    <w:rsid w:val="006D16CE"/>
    <w:rsid w:val="006F1D3C"/>
    <w:rsid w:val="006F6242"/>
    <w:rsid w:val="00725053"/>
    <w:rsid w:val="007404EA"/>
    <w:rsid w:val="00751749"/>
    <w:rsid w:val="00776453"/>
    <w:rsid w:val="007777DA"/>
    <w:rsid w:val="007A1261"/>
    <w:rsid w:val="007C3F12"/>
    <w:rsid w:val="007D441B"/>
    <w:rsid w:val="00801105"/>
    <w:rsid w:val="008163E0"/>
    <w:rsid w:val="00861B46"/>
    <w:rsid w:val="008C1A73"/>
    <w:rsid w:val="008D113C"/>
    <w:rsid w:val="008D376F"/>
    <w:rsid w:val="008D763C"/>
    <w:rsid w:val="008E548E"/>
    <w:rsid w:val="009119E7"/>
    <w:rsid w:val="00911B06"/>
    <w:rsid w:val="00917BB1"/>
    <w:rsid w:val="009266E6"/>
    <w:rsid w:val="00933241"/>
    <w:rsid w:val="009519CD"/>
    <w:rsid w:val="00961EA6"/>
    <w:rsid w:val="00975D21"/>
    <w:rsid w:val="00980531"/>
    <w:rsid w:val="0099486A"/>
    <w:rsid w:val="009A240D"/>
    <w:rsid w:val="009C43C7"/>
    <w:rsid w:val="009C5F29"/>
    <w:rsid w:val="00A56145"/>
    <w:rsid w:val="00A56DE0"/>
    <w:rsid w:val="00A60B0B"/>
    <w:rsid w:val="00A713F3"/>
    <w:rsid w:val="00A8465C"/>
    <w:rsid w:val="00A9349C"/>
    <w:rsid w:val="00AB1349"/>
    <w:rsid w:val="00AB70DA"/>
    <w:rsid w:val="00AE068C"/>
    <w:rsid w:val="00AE43E6"/>
    <w:rsid w:val="00B46E48"/>
    <w:rsid w:val="00B54CF4"/>
    <w:rsid w:val="00B66238"/>
    <w:rsid w:val="00BE11A8"/>
    <w:rsid w:val="00BE2613"/>
    <w:rsid w:val="00C569B9"/>
    <w:rsid w:val="00C76F04"/>
    <w:rsid w:val="00CA2377"/>
    <w:rsid w:val="00CA63FC"/>
    <w:rsid w:val="00CD541E"/>
    <w:rsid w:val="00CD6AC0"/>
    <w:rsid w:val="00CF7EFB"/>
    <w:rsid w:val="00D30573"/>
    <w:rsid w:val="00D35448"/>
    <w:rsid w:val="00D419B6"/>
    <w:rsid w:val="00D846DB"/>
    <w:rsid w:val="00DA16A1"/>
    <w:rsid w:val="00DC77FE"/>
    <w:rsid w:val="00DE78E4"/>
    <w:rsid w:val="00DF0877"/>
    <w:rsid w:val="00E11A56"/>
    <w:rsid w:val="00E326A4"/>
    <w:rsid w:val="00E45CBE"/>
    <w:rsid w:val="00E67C75"/>
    <w:rsid w:val="00E83DF0"/>
    <w:rsid w:val="00E97EAE"/>
    <w:rsid w:val="00EC1F6F"/>
    <w:rsid w:val="00EC6A73"/>
    <w:rsid w:val="00F07048"/>
    <w:rsid w:val="00F101E0"/>
    <w:rsid w:val="00F2396B"/>
    <w:rsid w:val="00F72274"/>
    <w:rsid w:val="00F7634B"/>
    <w:rsid w:val="00FE1324"/>
    <w:rsid w:val="00FF5D5A"/>
    <w:rsid w:val="1D66B4A6"/>
    <w:rsid w:val="208CC894"/>
    <w:rsid w:val="5C2A1D54"/>
    <w:rsid w:val="64367E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16E39"/>
  <w15:chartTrackingRefBased/>
  <w15:docId w15:val="{8D27165F-520E-484E-A31C-C9AB30E9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E97EAE"/>
    <w:pPr>
      <w:spacing w:after="160" w:line="259" w:lineRule="auto"/>
      <w:ind w:left="720"/>
      <w:contextualSpacing/>
    </w:pPr>
    <w:rPr>
      <w:rFonts w:eastAsiaTheme="minorHAnsi"/>
      <w:kern w:val="2"/>
      <w:sz w:val="22"/>
      <w:szCs w:val="22"/>
      <w14:ligatures w14:val="standardContextual"/>
    </w:rPr>
  </w:style>
  <w:style w:type="paragraph" w:styleId="FootnoteText">
    <w:name w:val="footnote text"/>
    <w:basedOn w:val="Normal"/>
    <w:link w:val="FootnoteTextChar"/>
    <w:uiPriority w:val="99"/>
    <w:semiHidden/>
    <w:unhideWhenUsed/>
    <w:rsid w:val="00E97EAE"/>
    <w:pPr>
      <w:spacing w:line="240" w:lineRule="auto"/>
    </w:pPr>
    <w:rPr>
      <w:rFonts w:eastAsia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E97EAE"/>
    <w:rPr>
      <w:kern w:val="2"/>
      <w:sz w:val="20"/>
      <w:szCs w:val="20"/>
      <w14:ligatures w14:val="standardContextual"/>
    </w:rPr>
  </w:style>
  <w:style w:type="character" w:styleId="FootnoteReference">
    <w:name w:val="footnote reference"/>
    <w:basedOn w:val="DefaultParagraphFont"/>
    <w:uiPriority w:val="99"/>
    <w:semiHidden/>
    <w:unhideWhenUsed/>
    <w:rsid w:val="00E97E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55025">
      <w:bodyDiv w:val="1"/>
      <w:marLeft w:val="0"/>
      <w:marRight w:val="0"/>
      <w:marTop w:val="0"/>
      <w:marBottom w:val="0"/>
      <w:divBdr>
        <w:top w:val="none" w:sz="0" w:space="0" w:color="auto"/>
        <w:left w:val="none" w:sz="0" w:space="0" w:color="auto"/>
        <w:bottom w:val="none" w:sz="0" w:space="0" w:color="auto"/>
        <w:right w:val="none" w:sz="0" w:space="0" w:color="auto"/>
      </w:divBdr>
      <w:divsChild>
        <w:div w:id="365830645">
          <w:marLeft w:val="0"/>
          <w:marRight w:val="0"/>
          <w:marTop w:val="0"/>
          <w:marBottom w:val="0"/>
          <w:divBdr>
            <w:top w:val="none" w:sz="0" w:space="0" w:color="auto"/>
            <w:left w:val="none" w:sz="0" w:space="0" w:color="auto"/>
            <w:bottom w:val="none" w:sz="0" w:space="0" w:color="auto"/>
            <w:right w:val="none" w:sz="0" w:space="0" w:color="auto"/>
          </w:divBdr>
        </w:div>
        <w:div w:id="781648601">
          <w:marLeft w:val="0"/>
          <w:marRight w:val="0"/>
          <w:marTop w:val="0"/>
          <w:marBottom w:val="0"/>
          <w:divBdr>
            <w:top w:val="none" w:sz="0" w:space="0" w:color="auto"/>
            <w:left w:val="none" w:sz="0" w:space="0" w:color="auto"/>
            <w:bottom w:val="none" w:sz="0" w:space="0" w:color="auto"/>
            <w:right w:val="none" w:sz="0" w:space="0" w:color="auto"/>
          </w:divBdr>
        </w:div>
        <w:div w:id="1012033203">
          <w:marLeft w:val="0"/>
          <w:marRight w:val="0"/>
          <w:marTop w:val="0"/>
          <w:marBottom w:val="0"/>
          <w:divBdr>
            <w:top w:val="none" w:sz="0" w:space="0" w:color="auto"/>
            <w:left w:val="none" w:sz="0" w:space="0" w:color="auto"/>
            <w:bottom w:val="none" w:sz="0" w:space="0" w:color="auto"/>
            <w:right w:val="none" w:sz="0" w:space="0" w:color="auto"/>
          </w:divBdr>
        </w:div>
        <w:div w:id="1271475472">
          <w:marLeft w:val="0"/>
          <w:marRight w:val="0"/>
          <w:marTop w:val="0"/>
          <w:marBottom w:val="0"/>
          <w:divBdr>
            <w:top w:val="none" w:sz="0" w:space="0" w:color="auto"/>
            <w:left w:val="none" w:sz="0" w:space="0" w:color="auto"/>
            <w:bottom w:val="none" w:sz="0" w:space="0" w:color="auto"/>
            <w:right w:val="none" w:sz="0" w:space="0" w:color="auto"/>
          </w:divBdr>
        </w:div>
        <w:div w:id="1356888617">
          <w:marLeft w:val="0"/>
          <w:marRight w:val="0"/>
          <w:marTop w:val="0"/>
          <w:marBottom w:val="0"/>
          <w:divBdr>
            <w:top w:val="none" w:sz="0" w:space="0" w:color="auto"/>
            <w:left w:val="none" w:sz="0" w:space="0" w:color="auto"/>
            <w:bottom w:val="none" w:sz="0" w:space="0" w:color="auto"/>
            <w:right w:val="none" w:sz="0" w:space="0" w:color="auto"/>
          </w:divBdr>
        </w:div>
      </w:divsChild>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726883617">
      <w:bodyDiv w:val="1"/>
      <w:marLeft w:val="0"/>
      <w:marRight w:val="0"/>
      <w:marTop w:val="0"/>
      <w:marBottom w:val="0"/>
      <w:divBdr>
        <w:top w:val="none" w:sz="0" w:space="0" w:color="auto"/>
        <w:left w:val="none" w:sz="0" w:space="0" w:color="auto"/>
        <w:bottom w:val="none" w:sz="0" w:space="0" w:color="auto"/>
        <w:right w:val="none" w:sz="0" w:space="0" w:color="auto"/>
      </w:divBdr>
      <w:divsChild>
        <w:div w:id="27680512">
          <w:marLeft w:val="0"/>
          <w:marRight w:val="0"/>
          <w:marTop w:val="0"/>
          <w:marBottom w:val="0"/>
          <w:divBdr>
            <w:top w:val="none" w:sz="0" w:space="0" w:color="auto"/>
            <w:left w:val="none" w:sz="0" w:space="0" w:color="auto"/>
            <w:bottom w:val="none" w:sz="0" w:space="0" w:color="auto"/>
            <w:right w:val="none" w:sz="0" w:space="0" w:color="auto"/>
          </w:divBdr>
        </w:div>
        <w:div w:id="89006883">
          <w:marLeft w:val="0"/>
          <w:marRight w:val="0"/>
          <w:marTop w:val="0"/>
          <w:marBottom w:val="0"/>
          <w:divBdr>
            <w:top w:val="none" w:sz="0" w:space="0" w:color="auto"/>
            <w:left w:val="none" w:sz="0" w:space="0" w:color="auto"/>
            <w:bottom w:val="none" w:sz="0" w:space="0" w:color="auto"/>
            <w:right w:val="none" w:sz="0" w:space="0" w:color="auto"/>
          </w:divBdr>
        </w:div>
        <w:div w:id="204608473">
          <w:marLeft w:val="0"/>
          <w:marRight w:val="0"/>
          <w:marTop w:val="0"/>
          <w:marBottom w:val="0"/>
          <w:divBdr>
            <w:top w:val="none" w:sz="0" w:space="0" w:color="auto"/>
            <w:left w:val="none" w:sz="0" w:space="0" w:color="auto"/>
            <w:bottom w:val="none" w:sz="0" w:space="0" w:color="auto"/>
            <w:right w:val="none" w:sz="0" w:space="0" w:color="auto"/>
          </w:divBdr>
        </w:div>
        <w:div w:id="316963305">
          <w:marLeft w:val="0"/>
          <w:marRight w:val="0"/>
          <w:marTop w:val="0"/>
          <w:marBottom w:val="0"/>
          <w:divBdr>
            <w:top w:val="none" w:sz="0" w:space="0" w:color="auto"/>
            <w:left w:val="none" w:sz="0" w:space="0" w:color="auto"/>
            <w:bottom w:val="none" w:sz="0" w:space="0" w:color="auto"/>
            <w:right w:val="none" w:sz="0" w:space="0" w:color="auto"/>
          </w:divBdr>
        </w:div>
        <w:div w:id="521745915">
          <w:marLeft w:val="0"/>
          <w:marRight w:val="0"/>
          <w:marTop w:val="0"/>
          <w:marBottom w:val="0"/>
          <w:divBdr>
            <w:top w:val="none" w:sz="0" w:space="0" w:color="auto"/>
            <w:left w:val="none" w:sz="0" w:space="0" w:color="auto"/>
            <w:bottom w:val="none" w:sz="0" w:space="0" w:color="auto"/>
            <w:right w:val="none" w:sz="0" w:space="0" w:color="auto"/>
          </w:divBdr>
        </w:div>
        <w:div w:id="532503049">
          <w:marLeft w:val="0"/>
          <w:marRight w:val="0"/>
          <w:marTop w:val="0"/>
          <w:marBottom w:val="0"/>
          <w:divBdr>
            <w:top w:val="none" w:sz="0" w:space="0" w:color="auto"/>
            <w:left w:val="none" w:sz="0" w:space="0" w:color="auto"/>
            <w:bottom w:val="none" w:sz="0" w:space="0" w:color="auto"/>
            <w:right w:val="none" w:sz="0" w:space="0" w:color="auto"/>
          </w:divBdr>
        </w:div>
        <w:div w:id="669598574">
          <w:marLeft w:val="0"/>
          <w:marRight w:val="0"/>
          <w:marTop w:val="0"/>
          <w:marBottom w:val="0"/>
          <w:divBdr>
            <w:top w:val="none" w:sz="0" w:space="0" w:color="auto"/>
            <w:left w:val="none" w:sz="0" w:space="0" w:color="auto"/>
            <w:bottom w:val="none" w:sz="0" w:space="0" w:color="auto"/>
            <w:right w:val="none" w:sz="0" w:space="0" w:color="auto"/>
          </w:divBdr>
        </w:div>
        <w:div w:id="702051465">
          <w:marLeft w:val="0"/>
          <w:marRight w:val="0"/>
          <w:marTop w:val="0"/>
          <w:marBottom w:val="0"/>
          <w:divBdr>
            <w:top w:val="none" w:sz="0" w:space="0" w:color="auto"/>
            <w:left w:val="none" w:sz="0" w:space="0" w:color="auto"/>
            <w:bottom w:val="none" w:sz="0" w:space="0" w:color="auto"/>
            <w:right w:val="none" w:sz="0" w:space="0" w:color="auto"/>
          </w:divBdr>
        </w:div>
        <w:div w:id="752091931">
          <w:marLeft w:val="0"/>
          <w:marRight w:val="0"/>
          <w:marTop w:val="0"/>
          <w:marBottom w:val="0"/>
          <w:divBdr>
            <w:top w:val="none" w:sz="0" w:space="0" w:color="auto"/>
            <w:left w:val="none" w:sz="0" w:space="0" w:color="auto"/>
            <w:bottom w:val="none" w:sz="0" w:space="0" w:color="auto"/>
            <w:right w:val="none" w:sz="0" w:space="0" w:color="auto"/>
          </w:divBdr>
        </w:div>
        <w:div w:id="813790439">
          <w:marLeft w:val="0"/>
          <w:marRight w:val="0"/>
          <w:marTop w:val="0"/>
          <w:marBottom w:val="0"/>
          <w:divBdr>
            <w:top w:val="none" w:sz="0" w:space="0" w:color="auto"/>
            <w:left w:val="none" w:sz="0" w:space="0" w:color="auto"/>
            <w:bottom w:val="none" w:sz="0" w:space="0" w:color="auto"/>
            <w:right w:val="none" w:sz="0" w:space="0" w:color="auto"/>
          </w:divBdr>
        </w:div>
        <w:div w:id="977807651">
          <w:marLeft w:val="0"/>
          <w:marRight w:val="0"/>
          <w:marTop w:val="0"/>
          <w:marBottom w:val="0"/>
          <w:divBdr>
            <w:top w:val="none" w:sz="0" w:space="0" w:color="auto"/>
            <w:left w:val="none" w:sz="0" w:space="0" w:color="auto"/>
            <w:bottom w:val="none" w:sz="0" w:space="0" w:color="auto"/>
            <w:right w:val="none" w:sz="0" w:space="0" w:color="auto"/>
          </w:divBdr>
        </w:div>
        <w:div w:id="991517762">
          <w:marLeft w:val="0"/>
          <w:marRight w:val="0"/>
          <w:marTop w:val="0"/>
          <w:marBottom w:val="0"/>
          <w:divBdr>
            <w:top w:val="none" w:sz="0" w:space="0" w:color="auto"/>
            <w:left w:val="none" w:sz="0" w:space="0" w:color="auto"/>
            <w:bottom w:val="none" w:sz="0" w:space="0" w:color="auto"/>
            <w:right w:val="none" w:sz="0" w:space="0" w:color="auto"/>
          </w:divBdr>
        </w:div>
        <w:div w:id="1106920112">
          <w:marLeft w:val="0"/>
          <w:marRight w:val="0"/>
          <w:marTop w:val="0"/>
          <w:marBottom w:val="0"/>
          <w:divBdr>
            <w:top w:val="none" w:sz="0" w:space="0" w:color="auto"/>
            <w:left w:val="none" w:sz="0" w:space="0" w:color="auto"/>
            <w:bottom w:val="none" w:sz="0" w:space="0" w:color="auto"/>
            <w:right w:val="none" w:sz="0" w:space="0" w:color="auto"/>
          </w:divBdr>
        </w:div>
        <w:div w:id="1431705476">
          <w:marLeft w:val="0"/>
          <w:marRight w:val="0"/>
          <w:marTop w:val="0"/>
          <w:marBottom w:val="0"/>
          <w:divBdr>
            <w:top w:val="none" w:sz="0" w:space="0" w:color="auto"/>
            <w:left w:val="none" w:sz="0" w:space="0" w:color="auto"/>
            <w:bottom w:val="none" w:sz="0" w:space="0" w:color="auto"/>
            <w:right w:val="none" w:sz="0" w:space="0" w:color="auto"/>
          </w:divBdr>
        </w:div>
        <w:div w:id="1766681268">
          <w:marLeft w:val="0"/>
          <w:marRight w:val="0"/>
          <w:marTop w:val="0"/>
          <w:marBottom w:val="0"/>
          <w:divBdr>
            <w:top w:val="none" w:sz="0" w:space="0" w:color="auto"/>
            <w:left w:val="none" w:sz="0" w:space="0" w:color="auto"/>
            <w:bottom w:val="none" w:sz="0" w:space="0" w:color="auto"/>
            <w:right w:val="none" w:sz="0" w:space="0" w:color="auto"/>
          </w:divBdr>
        </w:div>
        <w:div w:id="1775242546">
          <w:marLeft w:val="0"/>
          <w:marRight w:val="0"/>
          <w:marTop w:val="0"/>
          <w:marBottom w:val="0"/>
          <w:divBdr>
            <w:top w:val="none" w:sz="0" w:space="0" w:color="auto"/>
            <w:left w:val="none" w:sz="0" w:space="0" w:color="auto"/>
            <w:bottom w:val="none" w:sz="0" w:space="0" w:color="auto"/>
            <w:right w:val="none" w:sz="0" w:space="0" w:color="auto"/>
          </w:divBdr>
        </w:div>
        <w:div w:id="1849520853">
          <w:marLeft w:val="0"/>
          <w:marRight w:val="0"/>
          <w:marTop w:val="0"/>
          <w:marBottom w:val="0"/>
          <w:divBdr>
            <w:top w:val="none" w:sz="0" w:space="0" w:color="auto"/>
            <w:left w:val="none" w:sz="0" w:space="0" w:color="auto"/>
            <w:bottom w:val="none" w:sz="0" w:space="0" w:color="auto"/>
            <w:right w:val="none" w:sz="0" w:space="0" w:color="auto"/>
          </w:divBdr>
        </w:div>
        <w:div w:id="1858153636">
          <w:marLeft w:val="0"/>
          <w:marRight w:val="0"/>
          <w:marTop w:val="0"/>
          <w:marBottom w:val="0"/>
          <w:divBdr>
            <w:top w:val="none" w:sz="0" w:space="0" w:color="auto"/>
            <w:left w:val="none" w:sz="0" w:space="0" w:color="auto"/>
            <w:bottom w:val="none" w:sz="0" w:space="0" w:color="auto"/>
            <w:right w:val="none" w:sz="0" w:space="0" w:color="auto"/>
          </w:divBdr>
        </w:div>
        <w:div w:id="1886019006">
          <w:marLeft w:val="0"/>
          <w:marRight w:val="0"/>
          <w:marTop w:val="0"/>
          <w:marBottom w:val="0"/>
          <w:divBdr>
            <w:top w:val="none" w:sz="0" w:space="0" w:color="auto"/>
            <w:left w:val="none" w:sz="0" w:space="0" w:color="auto"/>
            <w:bottom w:val="none" w:sz="0" w:space="0" w:color="auto"/>
            <w:right w:val="none" w:sz="0" w:space="0" w:color="auto"/>
          </w:divBdr>
        </w:div>
        <w:div w:id="2017033132">
          <w:marLeft w:val="0"/>
          <w:marRight w:val="0"/>
          <w:marTop w:val="0"/>
          <w:marBottom w:val="0"/>
          <w:divBdr>
            <w:top w:val="none" w:sz="0" w:space="0" w:color="auto"/>
            <w:left w:val="none" w:sz="0" w:space="0" w:color="auto"/>
            <w:bottom w:val="none" w:sz="0" w:space="0" w:color="auto"/>
            <w:right w:val="none" w:sz="0" w:space="0" w:color="auto"/>
          </w:divBdr>
        </w:div>
        <w:div w:id="2074424473">
          <w:marLeft w:val="0"/>
          <w:marRight w:val="0"/>
          <w:marTop w:val="0"/>
          <w:marBottom w:val="0"/>
          <w:divBdr>
            <w:top w:val="none" w:sz="0" w:space="0" w:color="auto"/>
            <w:left w:val="none" w:sz="0" w:space="0" w:color="auto"/>
            <w:bottom w:val="none" w:sz="0" w:space="0" w:color="auto"/>
            <w:right w:val="none" w:sz="0" w:space="0" w:color="auto"/>
          </w:divBdr>
        </w:div>
        <w:div w:id="2089233385">
          <w:marLeft w:val="0"/>
          <w:marRight w:val="0"/>
          <w:marTop w:val="0"/>
          <w:marBottom w:val="0"/>
          <w:divBdr>
            <w:top w:val="none" w:sz="0" w:space="0" w:color="auto"/>
            <w:left w:val="none" w:sz="0" w:space="0" w:color="auto"/>
            <w:bottom w:val="none" w:sz="0" w:space="0" w:color="auto"/>
            <w:right w:val="none" w:sz="0" w:space="0" w:color="auto"/>
          </w:divBdr>
        </w:div>
        <w:div w:id="2117626791">
          <w:marLeft w:val="0"/>
          <w:marRight w:val="0"/>
          <w:marTop w:val="0"/>
          <w:marBottom w:val="0"/>
          <w:divBdr>
            <w:top w:val="none" w:sz="0" w:space="0" w:color="auto"/>
            <w:left w:val="none" w:sz="0" w:space="0" w:color="auto"/>
            <w:bottom w:val="none" w:sz="0" w:space="0" w:color="auto"/>
            <w:right w:val="none" w:sz="0" w:space="0" w:color="auto"/>
          </w:divBdr>
        </w:div>
        <w:div w:id="2140486091">
          <w:marLeft w:val="0"/>
          <w:marRight w:val="0"/>
          <w:marTop w:val="0"/>
          <w:marBottom w:val="0"/>
          <w:divBdr>
            <w:top w:val="none" w:sz="0" w:space="0" w:color="auto"/>
            <w:left w:val="none" w:sz="0" w:space="0" w:color="auto"/>
            <w:bottom w:val="none" w:sz="0" w:space="0" w:color="auto"/>
            <w:right w:val="none" w:sz="0" w:space="0" w:color="auto"/>
          </w:divBdr>
        </w:div>
      </w:divsChild>
    </w:div>
    <w:div w:id="807824800">
      <w:bodyDiv w:val="1"/>
      <w:marLeft w:val="0"/>
      <w:marRight w:val="0"/>
      <w:marTop w:val="0"/>
      <w:marBottom w:val="0"/>
      <w:divBdr>
        <w:top w:val="none" w:sz="0" w:space="0" w:color="auto"/>
        <w:left w:val="none" w:sz="0" w:space="0" w:color="auto"/>
        <w:bottom w:val="none" w:sz="0" w:space="0" w:color="auto"/>
        <w:right w:val="none" w:sz="0" w:space="0" w:color="auto"/>
      </w:divBdr>
      <w:divsChild>
        <w:div w:id="26681149">
          <w:marLeft w:val="0"/>
          <w:marRight w:val="0"/>
          <w:marTop w:val="0"/>
          <w:marBottom w:val="0"/>
          <w:divBdr>
            <w:top w:val="none" w:sz="0" w:space="0" w:color="auto"/>
            <w:left w:val="none" w:sz="0" w:space="0" w:color="auto"/>
            <w:bottom w:val="none" w:sz="0" w:space="0" w:color="auto"/>
            <w:right w:val="none" w:sz="0" w:space="0" w:color="auto"/>
          </w:divBdr>
        </w:div>
        <w:div w:id="68503391">
          <w:marLeft w:val="0"/>
          <w:marRight w:val="0"/>
          <w:marTop w:val="0"/>
          <w:marBottom w:val="0"/>
          <w:divBdr>
            <w:top w:val="none" w:sz="0" w:space="0" w:color="auto"/>
            <w:left w:val="none" w:sz="0" w:space="0" w:color="auto"/>
            <w:bottom w:val="none" w:sz="0" w:space="0" w:color="auto"/>
            <w:right w:val="none" w:sz="0" w:space="0" w:color="auto"/>
          </w:divBdr>
        </w:div>
        <w:div w:id="82722260">
          <w:marLeft w:val="0"/>
          <w:marRight w:val="0"/>
          <w:marTop w:val="0"/>
          <w:marBottom w:val="0"/>
          <w:divBdr>
            <w:top w:val="none" w:sz="0" w:space="0" w:color="auto"/>
            <w:left w:val="none" w:sz="0" w:space="0" w:color="auto"/>
            <w:bottom w:val="none" w:sz="0" w:space="0" w:color="auto"/>
            <w:right w:val="none" w:sz="0" w:space="0" w:color="auto"/>
          </w:divBdr>
        </w:div>
        <w:div w:id="253174634">
          <w:marLeft w:val="0"/>
          <w:marRight w:val="0"/>
          <w:marTop w:val="0"/>
          <w:marBottom w:val="0"/>
          <w:divBdr>
            <w:top w:val="none" w:sz="0" w:space="0" w:color="auto"/>
            <w:left w:val="none" w:sz="0" w:space="0" w:color="auto"/>
            <w:bottom w:val="none" w:sz="0" w:space="0" w:color="auto"/>
            <w:right w:val="none" w:sz="0" w:space="0" w:color="auto"/>
          </w:divBdr>
        </w:div>
        <w:div w:id="352609287">
          <w:marLeft w:val="0"/>
          <w:marRight w:val="0"/>
          <w:marTop w:val="0"/>
          <w:marBottom w:val="0"/>
          <w:divBdr>
            <w:top w:val="none" w:sz="0" w:space="0" w:color="auto"/>
            <w:left w:val="none" w:sz="0" w:space="0" w:color="auto"/>
            <w:bottom w:val="none" w:sz="0" w:space="0" w:color="auto"/>
            <w:right w:val="none" w:sz="0" w:space="0" w:color="auto"/>
          </w:divBdr>
        </w:div>
        <w:div w:id="396129800">
          <w:marLeft w:val="0"/>
          <w:marRight w:val="0"/>
          <w:marTop w:val="0"/>
          <w:marBottom w:val="0"/>
          <w:divBdr>
            <w:top w:val="none" w:sz="0" w:space="0" w:color="auto"/>
            <w:left w:val="none" w:sz="0" w:space="0" w:color="auto"/>
            <w:bottom w:val="none" w:sz="0" w:space="0" w:color="auto"/>
            <w:right w:val="none" w:sz="0" w:space="0" w:color="auto"/>
          </w:divBdr>
        </w:div>
        <w:div w:id="671183825">
          <w:marLeft w:val="0"/>
          <w:marRight w:val="0"/>
          <w:marTop w:val="0"/>
          <w:marBottom w:val="0"/>
          <w:divBdr>
            <w:top w:val="none" w:sz="0" w:space="0" w:color="auto"/>
            <w:left w:val="none" w:sz="0" w:space="0" w:color="auto"/>
            <w:bottom w:val="none" w:sz="0" w:space="0" w:color="auto"/>
            <w:right w:val="none" w:sz="0" w:space="0" w:color="auto"/>
          </w:divBdr>
        </w:div>
        <w:div w:id="671488344">
          <w:marLeft w:val="0"/>
          <w:marRight w:val="0"/>
          <w:marTop w:val="0"/>
          <w:marBottom w:val="0"/>
          <w:divBdr>
            <w:top w:val="none" w:sz="0" w:space="0" w:color="auto"/>
            <w:left w:val="none" w:sz="0" w:space="0" w:color="auto"/>
            <w:bottom w:val="none" w:sz="0" w:space="0" w:color="auto"/>
            <w:right w:val="none" w:sz="0" w:space="0" w:color="auto"/>
          </w:divBdr>
        </w:div>
        <w:div w:id="752434143">
          <w:marLeft w:val="0"/>
          <w:marRight w:val="0"/>
          <w:marTop w:val="0"/>
          <w:marBottom w:val="0"/>
          <w:divBdr>
            <w:top w:val="none" w:sz="0" w:space="0" w:color="auto"/>
            <w:left w:val="none" w:sz="0" w:space="0" w:color="auto"/>
            <w:bottom w:val="none" w:sz="0" w:space="0" w:color="auto"/>
            <w:right w:val="none" w:sz="0" w:space="0" w:color="auto"/>
          </w:divBdr>
        </w:div>
        <w:div w:id="831485440">
          <w:marLeft w:val="0"/>
          <w:marRight w:val="0"/>
          <w:marTop w:val="0"/>
          <w:marBottom w:val="0"/>
          <w:divBdr>
            <w:top w:val="none" w:sz="0" w:space="0" w:color="auto"/>
            <w:left w:val="none" w:sz="0" w:space="0" w:color="auto"/>
            <w:bottom w:val="none" w:sz="0" w:space="0" w:color="auto"/>
            <w:right w:val="none" w:sz="0" w:space="0" w:color="auto"/>
          </w:divBdr>
        </w:div>
        <w:div w:id="889263300">
          <w:marLeft w:val="0"/>
          <w:marRight w:val="0"/>
          <w:marTop w:val="0"/>
          <w:marBottom w:val="0"/>
          <w:divBdr>
            <w:top w:val="none" w:sz="0" w:space="0" w:color="auto"/>
            <w:left w:val="none" w:sz="0" w:space="0" w:color="auto"/>
            <w:bottom w:val="none" w:sz="0" w:space="0" w:color="auto"/>
            <w:right w:val="none" w:sz="0" w:space="0" w:color="auto"/>
          </w:divBdr>
        </w:div>
        <w:div w:id="894854594">
          <w:marLeft w:val="0"/>
          <w:marRight w:val="0"/>
          <w:marTop w:val="0"/>
          <w:marBottom w:val="0"/>
          <w:divBdr>
            <w:top w:val="none" w:sz="0" w:space="0" w:color="auto"/>
            <w:left w:val="none" w:sz="0" w:space="0" w:color="auto"/>
            <w:bottom w:val="none" w:sz="0" w:space="0" w:color="auto"/>
            <w:right w:val="none" w:sz="0" w:space="0" w:color="auto"/>
          </w:divBdr>
        </w:div>
        <w:div w:id="918557368">
          <w:marLeft w:val="0"/>
          <w:marRight w:val="0"/>
          <w:marTop w:val="0"/>
          <w:marBottom w:val="0"/>
          <w:divBdr>
            <w:top w:val="none" w:sz="0" w:space="0" w:color="auto"/>
            <w:left w:val="none" w:sz="0" w:space="0" w:color="auto"/>
            <w:bottom w:val="none" w:sz="0" w:space="0" w:color="auto"/>
            <w:right w:val="none" w:sz="0" w:space="0" w:color="auto"/>
          </w:divBdr>
        </w:div>
        <w:div w:id="964431307">
          <w:marLeft w:val="0"/>
          <w:marRight w:val="0"/>
          <w:marTop w:val="0"/>
          <w:marBottom w:val="0"/>
          <w:divBdr>
            <w:top w:val="none" w:sz="0" w:space="0" w:color="auto"/>
            <w:left w:val="none" w:sz="0" w:space="0" w:color="auto"/>
            <w:bottom w:val="none" w:sz="0" w:space="0" w:color="auto"/>
            <w:right w:val="none" w:sz="0" w:space="0" w:color="auto"/>
          </w:divBdr>
        </w:div>
        <w:div w:id="1152679235">
          <w:marLeft w:val="0"/>
          <w:marRight w:val="0"/>
          <w:marTop w:val="0"/>
          <w:marBottom w:val="0"/>
          <w:divBdr>
            <w:top w:val="none" w:sz="0" w:space="0" w:color="auto"/>
            <w:left w:val="none" w:sz="0" w:space="0" w:color="auto"/>
            <w:bottom w:val="none" w:sz="0" w:space="0" w:color="auto"/>
            <w:right w:val="none" w:sz="0" w:space="0" w:color="auto"/>
          </w:divBdr>
        </w:div>
        <w:div w:id="1372261536">
          <w:marLeft w:val="0"/>
          <w:marRight w:val="0"/>
          <w:marTop w:val="0"/>
          <w:marBottom w:val="0"/>
          <w:divBdr>
            <w:top w:val="none" w:sz="0" w:space="0" w:color="auto"/>
            <w:left w:val="none" w:sz="0" w:space="0" w:color="auto"/>
            <w:bottom w:val="none" w:sz="0" w:space="0" w:color="auto"/>
            <w:right w:val="none" w:sz="0" w:space="0" w:color="auto"/>
          </w:divBdr>
        </w:div>
        <w:div w:id="1533760732">
          <w:marLeft w:val="0"/>
          <w:marRight w:val="0"/>
          <w:marTop w:val="0"/>
          <w:marBottom w:val="0"/>
          <w:divBdr>
            <w:top w:val="none" w:sz="0" w:space="0" w:color="auto"/>
            <w:left w:val="none" w:sz="0" w:space="0" w:color="auto"/>
            <w:bottom w:val="none" w:sz="0" w:space="0" w:color="auto"/>
            <w:right w:val="none" w:sz="0" w:space="0" w:color="auto"/>
          </w:divBdr>
        </w:div>
        <w:div w:id="1779787366">
          <w:marLeft w:val="0"/>
          <w:marRight w:val="0"/>
          <w:marTop w:val="0"/>
          <w:marBottom w:val="0"/>
          <w:divBdr>
            <w:top w:val="none" w:sz="0" w:space="0" w:color="auto"/>
            <w:left w:val="none" w:sz="0" w:space="0" w:color="auto"/>
            <w:bottom w:val="none" w:sz="0" w:space="0" w:color="auto"/>
            <w:right w:val="none" w:sz="0" w:space="0" w:color="auto"/>
          </w:divBdr>
        </w:div>
        <w:div w:id="1783379265">
          <w:marLeft w:val="0"/>
          <w:marRight w:val="0"/>
          <w:marTop w:val="0"/>
          <w:marBottom w:val="0"/>
          <w:divBdr>
            <w:top w:val="none" w:sz="0" w:space="0" w:color="auto"/>
            <w:left w:val="none" w:sz="0" w:space="0" w:color="auto"/>
            <w:bottom w:val="none" w:sz="0" w:space="0" w:color="auto"/>
            <w:right w:val="none" w:sz="0" w:space="0" w:color="auto"/>
          </w:divBdr>
        </w:div>
        <w:div w:id="2010059728">
          <w:marLeft w:val="0"/>
          <w:marRight w:val="0"/>
          <w:marTop w:val="0"/>
          <w:marBottom w:val="0"/>
          <w:divBdr>
            <w:top w:val="none" w:sz="0" w:space="0" w:color="auto"/>
            <w:left w:val="none" w:sz="0" w:space="0" w:color="auto"/>
            <w:bottom w:val="none" w:sz="0" w:space="0" w:color="auto"/>
            <w:right w:val="none" w:sz="0" w:space="0" w:color="auto"/>
          </w:divBdr>
        </w:div>
        <w:div w:id="2030447136">
          <w:marLeft w:val="0"/>
          <w:marRight w:val="0"/>
          <w:marTop w:val="0"/>
          <w:marBottom w:val="0"/>
          <w:divBdr>
            <w:top w:val="none" w:sz="0" w:space="0" w:color="auto"/>
            <w:left w:val="none" w:sz="0" w:space="0" w:color="auto"/>
            <w:bottom w:val="none" w:sz="0" w:space="0" w:color="auto"/>
            <w:right w:val="none" w:sz="0" w:space="0" w:color="auto"/>
          </w:divBdr>
        </w:div>
        <w:div w:id="2031639414">
          <w:marLeft w:val="0"/>
          <w:marRight w:val="0"/>
          <w:marTop w:val="0"/>
          <w:marBottom w:val="0"/>
          <w:divBdr>
            <w:top w:val="none" w:sz="0" w:space="0" w:color="auto"/>
            <w:left w:val="none" w:sz="0" w:space="0" w:color="auto"/>
            <w:bottom w:val="none" w:sz="0" w:space="0" w:color="auto"/>
            <w:right w:val="none" w:sz="0" w:space="0" w:color="auto"/>
          </w:divBdr>
        </w:div>
        <w:div w:id="2063677981">
          <w:marLeft w:val="0"/>
          <w:marRight w:val="0"/>
          <w:marTop w:val="0"/>
          <w:marBottom w:val="0"/>
          <w:divBdr>
            <w:top w:val="none" w:sz="0" w:space="0" w:color="auto"/>
            <w:left w:val="none" w:sz="0" w:space="0" w:color="auto"/>
            <w:bottom w:val="none" w:sz="0" w:space="0" w:color="auto"/>
            <w:right w:val="none" w:sz="0" w:space="0" w:color="auto"/>
          </w:divBdr>
        </w:div>
        <w:div w:id="2092849765">
          <w:marLeft w:val="0"/>
          <w:marRight w:val="0"/>
          <w:marTop w:val="0"/>
          <w:marBottom w:val="0"/>
          <w:divBdr>
            <w:top w:val="none" w:sz="0" w:space="0" w:color="auto"/>
            <w:left w:val="none" w:sz="0" w:space="0" w:color="auto"/>
            <w:bottom w:val="none" w:sz="0" w:space="0" w:color="auto"/>
            <w:right w:val="none" w:sz="0" w:space="0" w:color="auto"/>
          </w:divBdr>
        </w:div>
      </w:divsChild>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642156553">
      <w:bodyDiv w:val="1"/>
      <w:marLeft w:val="0"/>
      <w:marRight w:val="0"/>
      <w:marTop w:val="0"/>
      <w:marBottom w:val="0"/>
      <w:divBdr>
        <w:top w:val="none" w:sz="0" w:space="0" w:color="auto"/>
        <w:left w:val="none" w:sz="0" w:space="0" w:color="auto"/>
        <w:bottom w:val="none" w:sz="0" w:space="0" w:color="auto"/>
        <w:right w:val="none" w:sz="0" w:space="0" w:color="auto"/>
      </w:divBdr>
      <w:divsChild>
        <w:div w:id="203831147">
          <w:marLeft w:val="0"/>
          <w:marRight w:val="0"/>
          <w:marTop w:val="0"/>
          <w:marBottom w:val="0"/>
          <w:divBdr>
            <w:top w:val="none" w:sz="0" w:space="0" w:color="auto"/>
            <w:left w:val="none" w:sz="0" w:space="0" w:color="auto"/>
            <w:bottom w:val="none" w:sz="0" w:space="0" w:color="auto"/>
            <w:right w:val="none" w:sz="0" w:space="0" w:color="auto"/>
          </w:divBdr>
        </w:div>
        <w:div w:id="557981474">
          <w:marLeft w:val="0"/>
          <w:marRight w:val="0"/>
          <w:marTop w:val="0"/>
          <w:marBottom w:val="0"/>
          <w:divBdr>
            <w:top w:val="none" w:sz="0" w:space="0" w:color="auto"/>
            <w:left w:val="none" w:sz="0" w:space="0" w:color="auto"/>
            <w:bottom w:val="none" w:sz="0" w:space="0" w:color="auto"/>
            <w:right w:val="none" w:sz="0" w:space="0" w:color="auto"/>
          </w:divBdr>
        </w:div>
        <w:div w:id="638269089">
          <w:marLeft w:val="0"/>
          <w:marRight w:val="0"/>
          <w:marTop w:val="0"/>
          <w:marBottom w:val="0"/>
          <w:divBdr>
            <w:top w:val="none" w:sz="0" w:space="0" w:color="auto"/>
            <w:left w:val="none" w:sz="0" w:space="0" w:color="auto"/>
            <w:bottom w:val="none" w:sz="0" w:space="0" w:color="auto"/>
            <w:right w:val="none" w:sz="0" w:space="0" w:color="auto"/>
          </w:divBdr>
        </w:div>
        <w:div w:id="813251658">
          <w:marLeft w:val="0"/>
          <w:marRight w:val="0"/>
          <w:marTop w:val="0"/>
          <w:marBottom w:val="0"/>
          <w:divBdr>
            <w:top w:val="none" w:sz="0" w:space="0" w:color="auto"/>
            <w:left w:val="none" w:sz="0" w:space="0" w:color="auto"/>
            <w:bottom w:val="none" w:sz="0" w:space="0" w:color="auto"/>
            <w:right w:val="none" w:sz="0" w:space="0" w:color="auto"/>
          </w:divBdr>
        </w:div>
        <w:div w:id="2080665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pa.org.uk/media/34501/an-applicant-s-guide-to-water-supply-borehole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74C5C0B4BDCA42A4CB1E5BF4DC1B73" ma:contentTypeVersion="4" ma:contentTypeDescription="Create a new document." ma:contentTypeScope="" ma:versionID="3378be6c1075a21d897678927f0be24f">
  <xsd:schema xmlns:xsd="http://www.w3.org/2001/XMLSchema" xmlns:xs="http://www.w3.org/2001/XMLSchema" xmlns:p="http://schemas.microsoft.com/office/2006/metadata/properties" xmlns:ns2="fc19c288-80a5-4f13-a55b-e678e09225cb" targetNamespace="http://schemas.microsoft.com/office/2006/metadata/properties" ma:root="true" ma:fieldsID="378c0f9288a2795b549ee3fe774b6c69" ns2:_="">
    <xsd:import namespace="fc19c288-80a5-4f13-a55b-e678e09225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9c288-80a5-4f13-a55b-e678e0922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EB60E-9E87-4E21-8612-30C2A1D2F7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96062B28-FCEB-45FF-A3C8-FD53EB42F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9c288-80a5-4f13-a55b-e678e0922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1</TotalTime>
  <Pages>14</Pages>
  <Words>3259</Words>
  <Characters>18577</Characters>
  <Application>Microsoft Office Word</Application>
  <DocSecurity>4</DocSecurity>
  <Lines>154</Lines>
  <Paragraphs>43</Paragraphs>
  <ScaleCrop>false</ScaleCrop>
  <Company/>
  <LinksUpToDate>false</LinksUpToDate>
  <CharactersWithSpaces>21793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Brailsford, Emma</dc:creator>
  <cp:keywords/>
  <dc:description/>
  <cp:lastModifiedBy>Wallace, Fionna</cp:lastModifiedBy>
  <cp:revision>2</cp:revision>
  <cp:lastPrinted>2023-03-23T21:44:00Z</cp:lastPrinted>
  <dcterms:created xsi:type="dcterms:W3CDTF">2025-01-24T16:42:00Z</dcterms:created>
  <dcterms:modified xsi:type="dcterms:W3CDTF">2025-01-24T16:42:00Z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0x0101001774C5C0B4BDCA42A4CB1E5BF4DC1B73</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y fmtid="{D5CDD505-2E9C-101B-9397-08002B2CF9AE}" pid="31" name="TaxCatchAll">
    <vt:lpwstr/>
  </property>
  <property fmtid="{D5CDD505-2E9C-101B-9397-08002B2CF9AE}" pid="32" name="Planning Sub-Category">
    <vt:lpwstr>Water Environment</vt:lpwstr>
  </property>
  <property fmtid="{D5CDD505-2E9C-101B-9397-08002B2CF9AE}" pid="33" name="Planning Category">
    <vt:lpwstr>Planning Guidance</vt:lpwstr>
  </property>
  <property fmtid="{D5CDD505-2E9C-101B-9397-08002B2CF9AE}" pid="34" name="Planning Document Type">
    <vt:lpwstr>Guidance</vt:lpwstr>
  </property>
</Properties>
</file>