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3636E1A2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1E8C106F" wp14:editId="7E5F269F">
                <wp:simplePos x="0" y="0"/>
                <wp:positionH relativeFrom="column">
                  <wp:posOffset>-532765</wp:posOffset>
                </wp:positionH>
                <wp:positionV relativeFrom="paragraph">
                  <wp:posOffset>-787400</wp:posOffset>
                </wp:positionV>
                <wp:extent cx="7559645" cy="10945495"/>
                <wp:effectExtent l="0" t="0" r="3810" b="8255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3305" cy="10950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235999B9" wp14:editId="3F6B20B4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27AC76F" w14:textId="77777777" w:rsidR="004073BC" w:rsidRDefault="004073BC" w:rsidP="008C1A73"/>
        <w:p w14:paraId="6B41E761" w14:textId="77777777" w:rsidR="004073BC" w:rsidRDefault="004073BC" w:rsidP="008C1A73"/>
        <w:p w14:paraId="5A567065" w14:textId="77777777" w:rsidR="004073BC" w:rsidRDefault="004073BC" w:rsidP="008C1A73"/>
        <w:p w14:paraId="4122ABC8" w14:textId="77777777" w:rsidR="004073BC" w:rsidRDefault="004073BC" w:rsidP="008C1A73"/>
        <w:p w14:paraId="6A24F05E" w14:textId="77777777" w:rsidR="004073BC" w:rsidRDefault="004073BC" w:rsidP="008C1A73"/>
        <w:p w14:paraId="25C1B83B" w14:textId="05219893" w:rsidR="00801105" w:rsidRDefault="00281BB1" w:rsidP="00801105">
          <w:pPr>
            <w:rPr>
              <w:b/>
              <w:bCs/>
              <w:color w:val="FFFFFF" w:themeColor="background1"/>
              <w:sz w:val="84"/>
              <w:szCs w:val="8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0BD272B5" wp14:editId="23875103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D10C7E" w14:textId="0B8E4FDD" w:rsidR="00281BB1" w:rsidRPr="009A240D" w:rsidRDefault="000B166A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May </w:t>
                                </w:r>
                                <w:r w:rsidR="00280D1E">
                                  <w:rPr>
                                    <w:color w:val="FFFFFF" w:themeColor="background1"/>
                                  </w:rPr>
                                  <w:t>202</w:t>
                                </w:r>
                                <w:r w:rsidR="001F1357">
                                  <w:rPr>
                                    <w:color w:val="FFFFFF" w:themeColor="background1"/>
                                  </w:rPr>
                                  <w:t xml:space="preserve">5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D272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p w14:paraId="7DD10C7E" w14:textId="0B8E4FDD" w:rsidR="00281BB1" w:rsidRPr="009A240D" w:rsidRDefault="000B166A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May </w:t>
                          </w:r>
                          <w:r w:rsidR="00280D1E">
                            <w:rPr>
                              <w:color w:val="FFFFFF" w:themeColor="background1"/>
                            </w:rPr>
                            <w:t>202</w:t>
                          </w:r>
                          <w:r w:rsidR="001F1357">
                            <w:rPr>
                              <w:color w:val="FFFFFF" w:themeColor="background1"/>
                            </w:rPr>
                            <w:t xml:space="preserve">5 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280D1E">
            <w:rPr>
              <w:b/>
              <w:bCs/>
              <w:color w:val="FFFFFF" w:themeColor="background1"/>
              <w:sz w:val="84"/>
              <w:szCs w:val="84"/>
            </w:rPr>
            <w:t>S</w:t>
          </w:r>
          <w:r w:rsidR="00CF57E7">
            <w:rPr>
              <w:b/>
              <w:bCs/>
              <w:color w:val="FFFFFF" w:themeColor="background1"/>
              <w:sz w:val="84"/>
              <w:szCs w:val="84"/>
            </w:rPr>
            <w:t>tatement o</w:t>
          </w:r>
          <w:r w:rsidR="008D7803">
            <w:rPr>
              <w:b/>
              <w:bCs/>
              <w:color w:val="FFFFFF" w:themeColor="background1"/>
              <w:sz w:val="84"/>
              <w:szCs w:val="84"/>
            </w:rPr>
            <w:t xml:space="preserve">n </w:t>
          </w:r>
          <w:r w:rsidR="00CF57E7">
            <w:rPr>
              <w:b/>
              <w:bCs/>
              <w:color w:val="FFFFFF" w:themeColor="background1"/>
              <w:sz w:val="84"/>
              <w:szCs w:val="84"/>
            </w:rPr>
            <w:t>S</w:t>
          </w:r>
          <w:r w:rsidR="00280D1E">
            <w:rPr>
              <w:b/>
              <w:bCs/>
              <w:color w:val="FFFFFF" w:themeColor="background1"/>
              <w:sz w:val="84"/>
              <w:szCs w:val="84"/>
            </w:rPr>
            <w:t xml:space="preserve">EPA </w:t>
          </w:r>
          <w:r w:rsidR="00E54B9F">
            <w:rPr>
              <w:b/>
              <w:bCs/>
              <w:color w:val="FFFFFF" w:themeColor="background1"/>
              <w:sz w:val="84"/>
              <w:szCs w:val="84"/>
            </w:rPr>
            <w:t>a</w:t>
          </w:r>
          <w:r w:rsidR="00C00026">
            <w:rPr>
              <w:b/>
              <w:bCs/>
              <w:color w:val="FFFFFF" w:themeColor="background1"/>
              <w:sz w:val="84"/>
              <w:szCs w:val="84"/>
            </w:rPr>
            <w:t xml:space="preserve">pproach to National Planning Framework 4 </w:t>
          </w:r>
          <w:r w:rsidR="0042376D">
            <w:rPr>
              <w:b/>
              <w:bCs/>
              <w:color w:val="FFFFFF" w:themeColor="background1"/>
              <w:sz w:val="84"/>
              <w:szCs w:val="84"/>
            </w:rPr>
            <w:t xml:space="preserve">Policy 22 </w:t>
          </w:r>
          <w:r w:rsidR="00E54B9F">
            <w:rPr>
              <w:b/>
              <w:bCs/>
              <w:color w:val="FFFFFF" w:themeColor="background1"/>
              <w:sz w:val="84"/>
              <w:szCs w:val="84"/>
            </w:rPr>
            <w:t>e</w:t>
          </w:r>
          <w:r w:rsidR="0042376D">
            <w:rPr>
              <w:b/>
              <w:bCs/>
              <w:color w:val="FFFFFF" w:themeColor="background1"/>
              <w:sz w:val="84"/>
              <w:szCs w:val="84"/>
            </w:rPr>
            <w:t xml:space="preserve">xceptions </w:t>
          </w:r>
        </w:p>
        <w:p w14:paraId="13C5780B" w14:textId="77777777" w:rsidR="008C1A73" w:rsidRPr="00CF7EFB" w:rsidRDefault="008C1A73" w:rsidP="00CF7EFB">
          <w:pPr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2FEF4E7C" w14:textId="387603FF" w:rsidR="0042376D" w:rsidRPr="00650C56" w:rsidRDefault="00280D1E" w:rsidP="00650C56">
      <w:pPr>
        <w:pStyle w:val="Heading1"/>
      </w:pPr>
      <w:r>
        <w:lastRenderedPageBreak/>
        <w:t>S</w:t>
      </w:r>
      <w:r w:rsidR="00D904E5">
        <w:t>tatement on S</w:t>
      </w:r>
      <w:r>
        <w:t xml:space="preserve">EPA </w:t>
      </w:r>
      <w:r w:rsidR="00E54B9F">
        <w:t>a</w:t>
      </w:r>
      <w:r w:rsidR="00C00026" w:rsidRPr="0042376D">
        <w:t xml:space="preserve">pproach to National Planning Framework 4 Policy 22 </w:t>
      </w:r>
      <w:r w:rsidR="00E54B9F">
        <w:t>e</w:t>
      </w:r>
      <w:r w:rsidR="00C00026" w:rsidRPr="0042376D">
        <w:t>xceptions</w:t>
      </w:r>
    </w:p>
    <w:p w14:paraId="70A97515" w14:textId="49099F63" w:rsidR="00C00026" w:rsidRPr="00650C56" w:rsidRDefault="00A029C9" w:rsidP="00650C56">
      <w:pPr>
        <w:pStyle w:val="Heading2"/>
      </w:pPr>
      <w:r>
        <w:t xml:space="preserve">Purpose </w:t>
      </w:r>
    </w:p>
    <w:p w14:paraId="04B5D504" w14:textId="743707C3" w:rsidR="00CF57E7" w:rsidRDefault="00C00026" w:rsidP="00CF57E7">
      <w:r>
        <w:t xml:space="preserve">The matter of whose role it is to advise on whether one of the four </w:t>
      </w:r>
      <w:r w:rsidR="00CB7926">
        <w:t xml:space="preserve">Policy 22 </w:t>
      </w:r>
      <w:r>
        <w:t xml:space="preserve">exceptions in </w:t>
      </w:r>
      <w:hyperlink r:id="rId13" w:history="1">
        <w:r w:rsidRPr="00AE3958">
          <w:rPr>
            <w:rStyle w:val="Hyperlink"/>
          </w:rPr>
          <w:t>N</w:t>
        </w:r>
        <w:r w:rsidR="00E120F1" w:rsidRPr="00AE3958">
          <w:rPr>
            <w:rStyle w:val="Hyperlink"/>
          </w:rPr>
          <w:t xml:space="preserve">ational </w:t>
        </w:r>
        <w:r w:rsidRPr="00AE3958">
          <w:rPr>
            <w:rStyle w:val="Hyperlink"/>
          </w:rPr>
          <w:t>P</w:t>
        </w:r>
        <w:r w:rsidR="00E120F1" w:rsidRPr="00AE3958">
          <w:rPr>
            <w:rStyle w:val="Hyperlink"/>
          </w:rPr>
          <w:t xml:space="preserve">lanning </w:t>
        </w:r>
        <w:r w:rsidRPr="00AE3958">
          <w:rPr>
            <w:rStyle w:val="Hyperlink"/>
          </w:rPr>
          <w:t>F</w:t>
        </w:r>
        <w:r w:rsidR="00E120F1" w:rsidRPr="00AE3958">
          <w:rPr>
            <w:rStyle w:val="Hyperlink"/>
          </w:rPr>
          <w:t xml:space="preserve">ramework </w:t>
        </w:r>
        <w:r w:rsidRPr="00AE3958">
          <w:rPr>
            <w:rStyle w:val="Hyperlink"/>
          </w:rPr>
          <w:t xml:space="preserve">4 </w:t>
        </w:r>
        <w:r w:rsidR="00CF57E7" w:rsidRPr="00AE3958">
          <w:rPr>
            <w:rStyle w:val="Hyperlink"/>
          </w:rPr>
          <w:t>(NPF4)</w:t>
        </w:r>
      </w:hyperlink>
      <w:r w:rsidR="00CF57E7">
        <w:t xml:space="preserve"> </w:t>
      </w:r>
      <w:r>
        <w:t>applies</w:t>
      </w:r>
      <w:r w:rsidR="00E120F1">
        <w:t xml:space="preserve"> to a development </w:t>
      </w:r>
      <w:r>
        <w:t>has been the source of disc</w:t>
      </w:r>
      <w:r w:rsidR="00821C02">
        <w:t>u</w:t>
      </w:r>
      <w:r>
        <w:t xml:space="preserve">ssion </w:t>
      </w:r>
      <w:r w:rsidR="00821C02">
        <w:t xml:space="preserve">between SEPA and planning authorities </w:t>
      </w:r>
      <w:r>
        <w:t xml:space="preserve">since NPF4 came into effect in February 2023. </w:t>
      </w:r>
    </w:p>
    <w:p w14:paraId="33FEED69" w14:textId="36474927" w:rsidR="00320941" w:rsidRDefault="00C00026" w:rsidP="00CF57E7">
      <w:r w:rsidRPr="00CF57E7">
        <w:t xml:space="preserve">NPF4 sets out four exceptions where development in an area of flood risk may be permissible: </w:t>
      </w:r>
    </w:p>
    <w:p w14:paraId="2868B4B3" w14:textId="77777777" w:rsidR="00320941" w:rsidRPr="00E82C1C" w:rsidRDefault="00320941" w:rsidP="00FB292A">
      <w:pPr>
        <w:ind w:left="720"/>
        <w:rPr>
          <w:b/>
          <w:bCs/>
        </w:rPr>
      </w:pPr>
      <w:r w:rsidRPr="00E82C1C">
        <w:rPr>
          <w:b/>
          <w:bCs/>
        </w:rPr>
        <w:t xml:space="preserve">Policy 22 </w:t>
      </w:r>
    </w:p>
    <w:p w14:paraId="4C4F37C5" w14:textId="77777777" w:rsidR="00E82C1C" w:rsidRDefault="00320941" w:rsidP="00FB292A">
      <w:pPr>
        <w:ind w:left="720"/>
      </w:pPr>
      <w:r>
        <w:t xml:space="preserve">a) Development proposals at risk of flooding or in a flood risk area will only be supported if they are for: </w:t>
      </w:r>
    </w:p>
    <w:p w14:paraId="0415BC3C" w14:textId="77777777" w:rsidR="00856F7A" w:rsidRDefault="00320941" w:rsidP="00FB292A">
      <w:pPr>
        <w:ind w:left="720"/>
      </w:pPr>
      <w:proofErr w:type="spellStart"/>
      <w:r>
        <w:t>i</w:t>
      </w:r>
      <w:proofErr w:type="spellEnd"/>
      <w:r>
        <w:t xml:space="preserve">. essential infrastructure where the location is required for operational </w:t>
      </w:r>
      <w:proofErr w:type="gramStart"/>
      <w:r>
        <w:t>reasons;</w:t>
      </w:r>
      <w:proofErr w:type="gramEnd"/>
      <w:r>
        <w:t xml:space="preserve"> </w:t>
      </w:r>
    </w:p>
    <w:p w14:paraId="30C4A4F6" w14:textId="77777777" w:rsidR="00856F7A" w:rsidRDefault="00320941" w:rsidP="00FB292A">
      <w:pPr>
        <w:ind w:left="720"/>
      </w:pPr>
      <w:r>
        <w:t xml:space="preserve">ii. water compatible </w:t>
      </w:r>
      <w:proofErr w:type="gramStart"/>
      <w:r>
        <w:t>uses;</w:t>
      </w:r>
      <w:proofErr w:type="gramEnd"/>
      <w:r>
        <w:t xml:space="preserve"> </w:t>
      </w:r>
    </w:p>
    <w:p w14:paraId="314B3BFA" w14:textId="77777777" w:rsidR="00856F7A" w:rsidRDefault="00320941" w:rsidP="00FB292A">
      <w:pPr>
        <w:ind w:left="720"/>
      </w:pPr>
      <w:r>
        <w:t xml:space="preserve">iii. redevelopment of an existing building or site for an equal or less vulnerable use; or. </w:t>
      </w:r>
    </w:p>
    <w:p w14:paraId="6D03547D" w14:textId="67CE3F2C" w:rsidR="00921882" w:rsidRPr="00921882" w:rsidRDefault="00320941" w:rsidP="00650C56">
      <w:pPr>
        <w:ind w:left="720"/>
      </w:pPr>
      <w:r>
        <w:t>iv. redevelopment of previously used sites in built up areas where the LDP has identified a need to bring these into positive use and where proposals demonstrate that long</w:t>
      </w:r>
      <w:r w:rsidR="00483832">
        <w:t xml:space="preserve"> t</w:t>
      </w:r>
      <w:r>
        <w:t>erm safety and resilience can be secured in accordance with relevant SEPA advice.</w:t>
      </w:r>
    </w:p>
    <w:p w14:paraId="2FEEF7FD" w14:textId="76847D36" w:rsidR="00993CCD" w:rsidRDefault="00CF57E7" w:rsidP="00993CCD">
      <w:r w:rsidRPr="00EC0340">
        <w:t xml:space="preserve">The purpose of this statement </w:t>
      </w:r>
      <w:r w:rsidR="007E681F">
        <w:t xml:space="preserve">is to clarify SEPA’s role </w:t>
      </w:r>
      <w:r w:rsidR="00B96EA0">
        <w:t xml:space="preserve">in advising on the exceptions </w:t>
      </w:r>
      <w:r w:rsidR="007E681F">
        <w:t xml:space="preserve">for </w:t>
      </w:r>
      <w:r w:rsidR="00B96EA0">
        <w:t xml:space="preserve">all </w:t>
      </w:r>
      <w:r w:rsidR="007E681F">
        <w:t>stakeholders in the</w:t>
      </w:r>
      <w:r w:rsidR="00472246">
        <w:t xml:space="preserve"> land use</w:t>
      </w:r>
      <w:r w:rsidR="007E681F">
        <w:t xml:space="preserve"> planning process. </w:t>
      </w:r>
      <w:r w:rsidR="00D22A1E">
        <w:t>Since the adoption of NPF4</w:t>
      </w:r>
      <w:r w:rsidR="003E410F" w:rsidRPr="003E410F">
        <w:t xml:space="preserve"> it has become </w:t>
      </w:r>
      <w:r w:rsidR="009D30CC">
        <w:t xml:space="preserve">evident </w:t>
      </w:r>
      <w:r w:rsidR="00D22A1E">
        <w:t>that a</w:t>
      </w:r>
      <w:r w:rsidR="003E410F" w:rsidRPr="003E410F">
        <w:t xml:space="preserve"> single view</w:t>
      </w:r>
      <w:r w:rsidR="00D22A1E">
        <w:t xml:space="preserve"> </w:t>
      </w:r>
      <w:r w:rsidR="003E410F" w:rsidRPr="003E410F">
        <w:t xml:space="preserve">from the </w:t>
      </w:r>
      <w:r w:rsidR="009D30CC">
        <w:t>planning authority as decision-maker</w:t>
      </w:r>
      <w:r w:rsidR="003E410F" w:rsidRPr="003E410F">
        <w:t xml:space="preserve"> would </w:t>
      </w:r>
      <w:r w:rsidR="00302F0D">
        <w:t>be helpful to all stakeholders</w:t>
      </w:r>
      <w:r w:rsidR="003E410F">
        <w:t xml:space="preserve">. </w:t>
      </w:r>
      <w:r w:rsidR="00302F0D">
        <w:t xml:space="preserve">This statement </w:t>
      </w:r>
      <w:r w:rsidR="00FA305B">
        <w:t xml:space="preserve">has been developed in collaboration with </w:t>
      </w:r>
      <w:r w:rsidR="00E3372A">
        <w:t xml:space="preserve">Scottish Government and planning authorities. </w:t>
      </w:r>
    </w:p>
    <w:p w14:paraId="031D3A90" w14:textId="77777777" w:rsidR="00993CCD" w:rsidRDefault="00993CCD" w:rsidP="00993CCD"/>
    <w:p w14:paraId="5ECA1743" w14:textId="24197D2F" w:rsidR="001F3B88" w:rsidRDefault="00993CCD" w:rsidP="00650C56">
      <w:pPr>
        <w:pStyle w:val="Heading2"/>
      </w:pPr>
      <w:r w:rsidRPr="29001CC6">
        <w:lastRenderedPageBreak/>
        <w:t>SEPA’s role</w:t>
      </w:r>
    </w:p>
    <w:p w14:paraId="1DA510E0" w14:textId="570DE0A7" w:rsidR="001F3B88" w:rsidRPr="00650C56" w:rsidRDefault="00993CCD" w:rsidP="00993CCD">
      <w:pPr>
        <w:rPr>
          <w:rFonts w:asciiTheme="majorHAnsi" w:eastAsia="Times New Roman" w:hAnsiTheme="majorHAnsi" w:cstheme="majorBidi"/>
          <w:b/>
          <w:bCs/>
          <w:color w:val="016574" w:themeColor="accent6"/>
          <w:sz w:val="32"/>
          <w:szCs w:val="32"/>
        </w:rPr>
      </w:pPr>
      <w:r>
        <w:t>Planning authorities are the consulting body and decision-maker</w:t>
      </w:r>
      <w:r w:rsidR="00264C47">
        <w:t xml:space="preserve"> </w:t>
      </w:r>
      <w:r w:rsidR="00ED7C0C">
        <w:t xml:space="preserve">for </w:t>
      </w:r>
      <w:r w:rsidR="005B4441">
        <w:t>planning consultation</w:t>
      </w:r>
      <w:r w:rsidR="00ED7C0C">
        <w:t>s where SEPA is asked for flood risk advice</w:t>
      </w:r>
      <w:r>
        <w:t xml:space="preserve">. </w:t>
      </w:r>
      <w:r w:rsidR="001F3B88">
        <w:t>SEPA has a clearly defined role as a statutory consultee providing input to the planning process in the form of technical flood risk advice.</w:t>
      </w:r>
    </w:p>
    <w:p w14:paraId="3799F83F" w14:textId="4A704AD9" w:rsidR="00E41859" w:rsidRDefault="00993CCD" w:rsidP="00993CCD">
      <w:r>
        <w:t xml:space="preserve">NPF4 </w:t>
      </w:r>
      <w:r w:rsidR="00264C47">
        <w:t>forms</w:t>
      </w:r>
      <w:r>
        <w:t xml:space="preserve"> part of the planning authority’s development plan</w:t>
      </w:r>
      <w:r w:rsidR="00BA5C4C">
        <w:t xml:space="preserve"> and the interpretation and application of many </w:t>
      </w:r>
      <w:r w:rsidR="00F80669">
        <w:t xml:space="preserve">(though not all) </w:t>
      </w:r>
      <w:r w:rsidR="00BA5C4C">
        <w:t>aspects of the exceptions are matters of planning judgement</w:t>
      </w:r>
      <w:r w:rsidR="006F30F0">
        <w:t>, which in some cases require knowledge o</w:t>
      </w:r>
      <w:r w:rsidR="00082098">
        <w:t>f</w:t>
      </w:r>
      <w:r w:rsidR="006F30F0">
        <w:t xml:space="preserve"> the site or </w:t>
      </w:r>
      <w:r w:rsidR="009C0356">
        <w:t xml:space="preserve">its </w:t>
      </w:r>
      <w:r w:rsidR="006F30F0">
        <w:t xml:space="preserve">wider locality, as well as </w:t>
      </w:r>
      <w:r w:rsidR="00082098">
        <w:t xml:space="preserve">knowledge of </w:t>
      </w:r>
      <w:r w:rsidR="006F30F0">
        <w:t xml:space="preserve">the planning authority’s own </w:t>
      </w:r>
      <w:r w:rsidR="009C0356">
        <w:t xml:space="preserve">local </w:t>
      </w:r>
      <w:r w:rsidR="006F30F0">
        <w:t>development plan.</w:t>
      </w:r>
      <w:r w:rsidR="00BA5C4C">
        <w:t xml:space="preserve"> </w:t>
      </w:r>
      <w:r w:rsidR="00E41859">
        <w:t>T</w:t>
      </w:r>
      <w:r w:rsidR="00063435">
        <w:t xml:space="preserve">erms such as ‘Essential Infrastructure’ and ‘Water Compatible Uses’ are </w:t>
      </w:r>
      <w:r w:rsidR="00E41859">
        <w:t xml:space="preserve">also </w:t>
      </w:r>
      <w:r w:rsidR="00063435">
        <w:t xml:space="preserve">defined in </w:t>
      </w:r>
      <w:r w:rsidR="009C0356">
        <w:t xml:space="preserve">the glossary of </w:t>
      </w:r>
      <w:r w:rsidR="00063435">
        <w:t>NPF4</w:t>
      </w:r>
      <w:r w:rsidR="0050501C">
        <w:t>, which SEPA has reflected in our Land Use Vulnerability Guidance</w:t>
      </w:r>
      <w:r w:rsidR="00063435">
        <w:t xml:space="preserve">. </w:t>
      </w:r>
    </w:p>
    <w:p w14:paraId="07126D53" w14:textId="50F43B0D" w:rsidR="0010361E" w:rsidRDefault="692B4F3F" w:rsidP="00993CCD">
      <w:r>
        <w:t xml:space="preserve">It is therefore appropriate </w:t>
      </w:r>
      <w:r w:rsidR="412011B2">
        <w:t xml:space="preserve">for the planning authority to advise </w:t>
      </w:r>
      <w:r w:rsidR="190AEC1D">
        <w:t>up</w:t>
      </w:r>
      <w:r w:rsidR="412011B2">
        <w:t>on which</w:t>
      </w:r>
      <w:r>
        <w:t>,</w:t>
      </w:r>
      <w:r w:rsidR="412011B2">
        <w:t xml:space="preserve"> if any</w:t>
      </w:r>
      <w:r>
        <w:t>,</w:t>
      </w:r>
      <w:r w:rsidR="412011B2">
        <w:t xml:space="preserve"> of the four exceptions </w:t>
      </w:r>
      <w:r>
        <w:t>is considered applicable to a development</w:t>
      </w:r>
      <w:r w:rsidR="008A16E1">
        <w:t>. Doing this</w:t>
      </w:r>
      <w:r w:rsidR="412011B2">
        <w:t xml:space="preserve"> at the point at which </w:t>
      </w:r>
      <w:r w:rsidR="7CD0BBC6">
        <w:t>SEPA is consulted for f</w:t>
      </w:r>
      <w:r w:rsidR="412011B2">
        <w:t>lood risk advice</w:t>
      </w:r>
      <w:r w:rsidR="00E463EF">
        <w:t xml:space="preserve"> is </w:t>
      </w:r>
      <w:r w:rsidR="00CA4695">
        <w:t xml:space="preserve">the best </w:t>
      </w:r>
      <w:r w:rsidR="0005595E">
        <w:t xml:space="preserve">and most time-efficient </w:t>
      </w:r>
      <w:r w:rsidR="00CA4695">
        <w:t>approach</w:t>
      </w:r>
      <w:r w:rsidR="00BA4C2C">
        <w:t>, as it</w:t>
      </w:r>
      <w:r w:rsidR="00365596">
        <w:t xml:space="preserve"> </w:t>
      </w:r>
      <w:r w:rsidR="0005595E">
        <w:t xml:space="preserve">clearly </w:t>
      </w:r>
      <w:r w:rsidR="00365596">
        <w:t>informs</w:t>
      </w:r>
      <w:r w:rsidR="007D7EFE">
        <w:t xml:space="preserve"> us what </w:t>
      </w:r>
      <w:r w:rsidR="00BC1ABF">
        <w:t xml:space="preserve">type of </w:t>
      </w:r>
      <w:r w:rsidR="007D7EFE">
        <w:t>flood risk advice is required</w:t>
      </w:r>
      <w:r w:rsidR="00CC1267">
        <w:t xml:space="preserve">: </w:t>
      </w:r>
      <w:r w:rsidR="00237543">
        <w:t>advice on how the development should avoid flood risk</w:t>
      </w:r>
      <w:r w:rsidR="00A724DE">
        <w:t xml:space="preserve"> entirely</w:t>
      </w:r>
      <w:r w:rsidR="00237543">
        <w:t xml:space="preserve">, advice on managing risk for a development that is </w:t>
      </w:r>
      <w:r w:rsidR="001612DF">
        <w:t>appropriate in a flood risk area, or wh</w:t>
      </w:r>
      <w:r w:rsidR="007D7EFE">
        <w:t>ether it is advice delivered through our standing advice</w:t>
      </w:r>
      <w:r w:rsidR="001612DF">
        <w:t>.</w:t>
      </w:r>
      <w:r w:rsidR="350E30FD">
        <w:t xml:space="preserve"> </w:t>
      </w:r>
      <w:r w:rsidR="5B6EAFBA">
        <w:t xml:space="preserve">For exceptions </w:t>
      </w:r>
      <w:r w:rsidR="09615D34">
        <w:t>(iii) and (iv)</w:t>
      </w:r>
      <w:r w:rsidR="73C95001">
        <w:t>, th</w:t>
      </w:r>
      <w:r w:rsidR="09615D34">
        <w:t>ere are elements that are dependent upon SEPA advice</w:t>
      </w:r>
      <w:r w:rsidR="000B1B23">
        <w:t xml:space="preserve"> and supported by our guidance</w:t>
      </w:r>
      <w:r w:rsidR="49CDF75B">
        <w:t xml:space="preserve"> as explained </w:t>
      </w:r>
      <w:r w:rsidR="00E41859">
        <w:t xml:space="preserve">in Table 1 </w:t>
      </w:r>
      <w:r w:rsidR="49CDF75B">
        <w:t xml:space="preserve">below, but </w:t>
      </w:r>
      <w:r w:rsidR="2BCE3558">
        <w:t xml:space="preserve">advice is first required from the planning authority on whether for example a proposed development can be considered </w:t>
      </w:r>
      <w:r w:rsidR="006F30F0">
        <w:t xml:space="preserve">a redevelopment. </w:t>
      </w:r>
    </w:p>
    <w:p w14:paraId="76037EFD" w14:textId="67986DFC" w:rsidR="00C0755F" w:rsidRDefault="00414DE8" w:rsidP="00993CCD">
      <w:r>
        <w:t>More detail on how this will work in practice is set out</w:t>
      </w:r>
      <w:r w:rsidR="00445F69">
        <w:t xml:space="preserve"> in Table 1</w:t>
      </w:r>
      <w:r w:rsidR="00B96EA0">
        <w:t xml:space="preserve"> </w:t>
      </w:r>
      <w:r w:rsidR="00445F69">
        <w:t>overleaf</w:t>
      </w:r>
      <w:r>
        <w:t xml:space="preserve">. </w:t>
      </w:r>
    </w:p>
    <w:p w14:paraId="3F0E5BCB" w14:textId="77777777" w:rsidR="00102763" w:rsidRDefault="00102763" w:rsidP="00993CCD"/>
    <w:p w14:paraId="64858792" w14:textId="77777777" w:rsidR="00102763" w:rsidRDefault="00102763" w:rsidP="00993CCD"/>
    <w:p w14:paraId="360A02C4" w14:textId="77777777" w:rsidR="00446312" w:rsidRDefault="00446312" w:rsidP="00993CCD"/>
    <w:p w14:paraId="08889A63" w14:textId="77777777" w:rsidR="0018437A" w:rsidRDefault="0018437A" w:rsidP="00993CCD"/>
    <w:p w14:paraId="0E6CF072" w14:textId="77777777" w:rsidR="00446312" w:rsidRDefault="00446312" w:rsidP="00993CCD"/>
    <w:p w14:paraId="2F1CF143" w14:textId="3787B60D" w:rsidR="00980D97" w:rsidRDefault="00B770A3" w:rsidP="00650C56">
      <w:pPr>
        <w:pStyle w:val="Heading2"/>
      </w:pPr>
      <w:r w:rsidRPr="00A035B4">
        <w:lastRenderedPageBreak/>
        <w:t>P</w:t>
      </w:r>
      <w:r w:rsidR="00A035B4">
        <w:t xml:space="preserve">ractical implications for </w:t>
      </w:r>
      <w:r w:rsidR="00631FBD">
        <w:t>consultation with SEPA</w:t>
      </w:r>
      <w:r w:rsidR="00A035B4">
        <w:t xml:space="preserve"> </w:t>
      </w:r>
    </w:p>
    <w:p w14:paraId="076E99CD" w14:textId="54D6EEBE" w:rsidR="00C07B73" w:rsidRPr="00C07B73" w:rsidRDefault="00631FBD" w:rsidP="00C07B73">
      <w:pPr>
        <w:pStyle w:val="pf0"/>
        <w:spacing w:line="360" w:lineRule="auto"/>
        <w:rPr>
          <w:rFonts w:asciiTheme="minorHAnsi" w:eastAsiaTheme="minorEastAsia" w:hAnsiTheme="minorHAnsi" w:cstheme="minorBidi"/>
          <w:lang w:eastAsia="en-US"/>
        </w:rPr>
      </w:pPr>
      <w:r w:rsidRPr="00C07B73">
        <w:rPr>
          <w:rFonts w:asciiTheme="minorHAnsi" w:eastAsiaTheme="minorEastAsia" w:hAnsiTheme="minorHAnsi" w:cstheme="minorBidi"/>
          <w:lang w:eastAsia="en-US"/>
        </w:rPr>
        <w:t xml:space="preserve">At the time of consultation with SEPA, planning authorities should confirm in writing which </w:t>
      </w:r>
      <w:r w:rsidR="000A60E5" w:rsidRPr="00C07B73">
        <w:rPr>
          <w:rFonts w:asciiTheme="minorHAnsi" w:eastAsiaTheme="minorEastAsia" w:hAnsiTheme="minorHAnsi" w:cstheme="minorBidi"/>
          <w:lang w:eastAsia="en-US"/>
        </w:rPr>
        <w:t>exception, i</w:t>
      </w:r>
      <w:r w:rsidR="00903201" w:rsidRPr="00C07B73">
        <w:rPr>
          <w:rFonts w:asciiTheme="minorHAnsi" w:eastAsiaTheme="minorEastAsia" w:hAnsiTheme="minorHAnsi" w:cstheme="minorBidi"/>
          <w:lang w:eastAsia="en-US"/>
        </w:rPr>
        <w:t>f</w:t>
      </w:r>
      <w:r w:rsidR="000A60E5" w:rsidRPr="00C07B73">
        <w:rPr>
          <w:rFonts w:asciiTheme="minorHAnsi" w:eastAsiaTheme="minorEastAsia" w:hAnsiTheme="minorHAnsi" w:cstheme="minorBidi"/>
          <w:lang w:eastAsia="en-US"/>
        </w:rPr>
        <w:t xml:space="preserve"> any at all, </w:t>
      </w:r>
      <w:r w:rsidR="001F7AC7" w:rsidRPr="00C07B73">
        <w:rPr>
          <w:rFonts w:asciiTheme="minorHAnsi" w:eastAsiaTheme="minorEastAsia" w:hAnsiTheme="minorHAnsi" w:cstheme="minorBidi"/>
          <w:lang w:eastAsia="en-US"/>
        </w:rPr>
        <w:t xml:space="preserve">they consider </w:t>
      </w:r>
      <w:r w:rsidR="000A60E5" w:rsidRPr="00C07B73">
        <w:rPr>
          <w:rFonts w:asciiTheme="minorHAnsi" w:eastAsiaTheme="minorEastAsia" w:hAnsiTheme="minorHAnsi" w:cstheme="minorBidi"/>
          <w:lang w:eastAsia="en-US"/>
        </w:rPr>
        <w:t xml:space="preserve">is applicable to the development. </w:t>
      </w:r>
      <w:r w:rsidR="00F742CC" w:rsidRPr="00C07B73">
        <w:rPr>
          <w:rFonts w:asciiTheme="minorHAnsi" w:eastAsiaTheme="minorEastAsia" w:hAnsiTheme="minorHAnsi" w:cstheme="minorBidi"/>
          <w:lang w:eastAsia="en-US"/>
        </w:rPr>
        <w:t>SEPA is happy to engage in dialogue with planning authorities where they consider unique cases may warrant a</w:t>
      </w:r>
      <w:r w:rsidR="005407B9" w:rsidRPr="00C07B73">
        <w:rPr>
          <w:rFonts w:asciiTheme="minorHAnsi" w:eastAsiaTheme="minorEastAsia" w:hAnsiTheme="minorHAnsi" w:cstheme="minorBidi"/>
          <w:lang w:eastAsia="en-US"/>
        </w:rPr>
        <w:t xml:space="preserve"> different </w:t>
      </w:r>
      <w:r w:rsidR="00F742CC" w:rsidRPr="00C07B73">
        <w:rPr>
          <w:rFonts w:asciiTheme="minorHAnsi" w:eastAsiaTheme="minorEastAsia" w:hAnsiTheme="minorHAnsi" w:cstheme="minorBidi"/>
          <w:lang w:eastAsia="en-US"/>
        </w:rPr>
        <w:t>approach.</w:t>
      </w:r>
      <w:r w:rsidR="00650C56">
        <w:rPr>
          <w:rFonts w:asciiTheme="minorHAnsi" w:eastAsiaTheme="minorEastAsia" w:hAnsiTheme="minorHAnsi" w:cstheme="minorBidi"/>
          <w:lang w:eastAsia="en-US"/>
        </w:rPr>
        <w:t xml:space="preserve"> </w:t>
      </w:r>
      <w:r w:rsidR="00980D97" w:rsidRPr="00C07B73">
        <w:rPr>
          <w:rFonts w:asciiTheme="minorHAnsi" w:eastAsiaTheme="minorEastAsia" w:hAnsiTheme="minorHAnsi" w:cstheme="minorBidi"/>
          <w:lang w:eastAsia="en-US"/>
        </w:rPr>
        <w:t xml:space="preserve">It would also be helpful to have </w:t>
      </w:r>
      <w:proofErr w:type="gramStart"/>
      <w:r w:rsidR="00980D97" w:rsidRPr="00C07B73">
        <w:rPr>
          <w:rFonts w:asciiTheme="minorHAnsi" w:eastAsiaTheme="minorEastAsia" w:hAnsiTheme="minorHAnsi" w:cstheme="minorBidi"/>
          <w:lang w:eastAsia="en-US"/>
        </w:rPr>
        <w:t>a brief summary</w:t>
      </w:r>
      <w:proofErr w:type="gramEnd"/>
      <w:r w:rsidR="00980D97" w:rsidRPr="00C07B73">
        <w:rPr>
          <w:rFonts w:asciiTheme="minorHAnsi" w:eastAsiaTheme="minorEastAsia" w:hAnsiTheme="minorHAnsi" w:cstheme="minorBidi"/>
          <w:lang w:eastAsia="en-US"/>
        </w:rPr>
        <w:t xml:space="preserve"> of the </w:t>
      </w:r>
      <w:r w:rsidR="00797765" w:rsidRPr="00C07B73">
        <w:rPr>
          <w:rFonts w:asciiTheme="minorHAnsi" w:eastAsiaTheme="minorEastAsia" w:hAnsiTheme="minorHAnsi" w:cstheme="minorBidi"/>
          <w:lang w:eastAsia="en-US"/>
        </w:rPr>
        <w:t xml:space="preserve">considerations </w:t>
      </w:r>
      <w:r w:rsidR="005407B9" w:rsidRPr="00C07B73">
        <w:rPr>
          <w:rFonts w:asciiTheme="minorHAnsi" w:eastAsiaTheme="minorEastAsia" w:hAnsiTheme="minorHAnsi" w:cstheme="minorBidi"/>
          <w:lang w:eastAsia="en-US"/>
        </w:rPr>
        <w:t>for the planning autho</w:t>
      </w:r>
      <w:r w:rsidR="00904DD4" w:rsidRPr="00C07B73">
        <w:rPr>
          <w:rFonts w:asciiTheme="minorHAnsi" w:eastAsiaTheme="minorEastAsia" w:hAnsiTheme="minorHAnsi" w:cstheme="minorBidi"/>
          <w:lang w:eastAsia="en-US"/>
        </w:rPr>
        <w:t xml:space="preserve">rity </w:t>
      </w:r>
      <w:r w:rsidR="00797765" w:rsidRPr="00C07B73">
        <w:rPr>
          <w:rFonts w:asciiTheme="minorHAnsi" w:eastAsiaTheme="minorEastAsia" w:hAnsiTheme="minorHAnsi" w:cstheme="minorBidi"/>
          <w:lang w:eastAsia="en-US"/>
        </w:rPr>
        <w:t xml:space="preserve">in arriving at </w:t>
      </w:r>
      <w:r w:rsidR="00904DD4" w:rsidRPr="00C07B73">
        <w:rPr>
          <w:rFonts w:asciiTheme="minorHAnsi" w:eastAsiaTheme="minorEastAsia" w:hAnsiTheme="minorHAnsi" w:cstheme="minorBidi"/>
          <w:lang w:eastAsia="en-US"/>
        </w:rPr>
        <w:t>a</w:t>
      </w:r>
      <w:r w:rsidR="00797765" w:rsidRPr="00C07B73">
        <w:rPr>
          <w:rFonts w:asciiTheme="minorHAnsi" w:eastAsiaTheme="minorEastAsia" w:hAnsiTheme="minorHAnsi" w:cstheme="minorBidi"/>
          <w:lang w:eastAsia="en-US"/>
        </w:rPr>
        <w:t xml:space="preserve"> </w:t>
      </w:r>
      <w:r w:rsidR="009708D9" w:rsidRPr="00C07B73">
        <w:rPr>
          <w:rFonts w:asciiTheme="minorHAnsi" w:eastAsiaTheme="minorEastAsia" w:hAnsiTheme="minorHAnsi" w:cstheme="minorBidi"/>
          <w:lang w:eastAsia="en-US"/>
        </w:rPr>
        <w:t>judgement</w:t>
      </w:r>
      <w:r w:rsidR="00904DD4" w:rsidRPr="00C07B73">
        <w:rPr>
          <w:rFonts w:asciiTheme="minorHAnsi" w:eastAsiaTheme="minorEastAsia" w:hAnsiTheme="minorHAnsi" w:cstheme="minorBidi"/>
          <w:lang w:eastAsia="en-US"/>
        </w:rPr>
        <w:t xml:space="preserve"> on which exception is applicable,</w:t>
      </w:r>
      <w:r w:rsidR="0097549C" w:rsidRPr="00C07B73">
        <w:rPr>
          <w:rFonts w:asciiTheme="minorHAnsi" w:eastAsiaTheme="minorEastAsia" w:hAnsiTheme="minorHAnsi" w:cstheme="minorBidi"/>
          <w:lang w:eastAsia="en-US"/>
        </w:rPr>
        <w:t xml:space="preserve"> where possible</w:t>
      </w:r>
      <w:r w:rsidR="00980D97" w:rsidRPr="00C07B73">
        <w:rPr>
          <w:rFonts w:asciiTheme="minorHAnsi" w:eastAsiaTheme="minorEastAsia" w:hAnsiTheme="minorHAnsi" w:cstheme="minorBidi"/>
          <w:lang w:eastAsia="en-US"/>
        </w:rPr>
        <w:t xml:space="preserve">. </w:t>
      </w:r>
      <w:r w:rsidR="009A446B" w:rsidRPr="00FC44F3">
        <w:rPr>
          <w:rFonts w:asciiTheme="minorHAnsi" w:eastAsiaTheme="minorEastAsia" w:hAnsiTheme="minorHAnsi" w:cstheme="minorBidi"/>
          <w:lang w:eastAsia="en-US"/>
        </w:rPr>
        <w:t>Wherever we</w:t>
      </w:r>
      <w:r w:rsidR="00C07B73" w:rsidRPr="00FC44F3">
        <w:rPr>
          <w:rFonts w:asciiTheme="minorHAnsi" w:eastAsiaTheme="minorEastAsia" w:hAnsiTheme="minorHAnsi" w:cstheme="minorBidi"/>
          <w:lang w:eastAsia="en-US"/>
        </w:rPr>
        <w:t xml:space="preserve"> possess information </w:t>
      </w:r>
      <w:r w:rsidR="009A446B" w:rsidRPr="00FC44F3">
        <w:rPr>
          <w:rFonts w:asciiTheme="minorHAnsi" w:eastAsiaTheme="minorEastAsia" w:hAnsiTheme="minorHAnsi" w:cstheme="minorBidi"/>
          <w:lang w:eastAsia="en-US"/>
        </w:rPr>
        <w:t>t</w:t>
      </w:r>
      <w:r w:rsidR="009F2B5B" w:rsidRPr="00FC44F3">
        <w:rPr>
          <w:rFonts w:asciiTheme="minorHAnsi" w:eastAsiaTheme="minorEastAsia" w:hAnsiTheme="minorHAnsi" w:cstheme="minorBidi"/>
          <w:lang w:eastAsia="en-US"/>
        </w:rPr>
        <w:t>hat can</w:t>
      </w:r>
      <w:r w:rsidR="009A446B" w:rsidRPr="00FC44F3">
        <w:rPr>
          <w:rFonts w:asciiTheme="minorHAnsi" w:eastAsiaTheme="minorEastAsia" w:hAnsiTheme="minorHAnsi" w:cstheme="minorBidi"/>
          <w:lang w:eastAsia="en-US"/>
        </w:rPr>
        <w:t xml:space="preserve"> support </w:t>
      </w:r>
      <w:r w:rsidR="00314AB5" w:rsidRPr="00FC44F3">
        <w:rPr>
          <w:rFonts w:asciiTheme="minorHAnsi" w:eastAsiaTheme="minorEastAsia" w:hAnsiTheme="minorHAnsi" w:cstheme="minorBidi"/>
          <w:lang w:eastAsia="en-US"/>
        </w:rPr>
        <w:t>planning authorit</w:t>
      </w:r>
      <w:r w:rsidR="00293E46" w:rsidRPr="00FC44F3">
        <w:rPr>
          <w:rFonts w:asciiTheme="minorHAnsi" w:eastAsiaTheme="minorEastAsia" w:hAnsiTheme="minorHAnsi" w:cstheme="minorBidi"/>
          <w:lang w:eastAsia="en-US"/>
        </w:rPr>
        <w:t>ies</w:t>
      </w:r>
      <w:r w:rsidR="009F2B5B" w:rsidRPr="00FC44F3">
        <w:rPr>
          <w:rFonts w:asciiTheme="minorHAnsi" w:eastAsiaTheme="minorEastAsia" w:hAnsiTheme="minorHAnsi" w:cstheme="minorBidi"/>
          <w:lang w:eastAsia="en-US"/>
        </w:rPr>
        <w:t xml:space="preserve"> in</w:t>
      </w:r>
      <w:r w:rsidR="009E6409" w:rsidRPr="00FC44F3">
        <w:rPr>
          <w:rFonts w:asciiTheme="minorHAnsi" w:eastAsiaTheme="minorEastAsia" w:hAnsiTheme="minorHAnsi" w:cstheme="minorBidi"/>
          <w:lang w:eastAsia="en-US"/>
        </w:rPr>
        <w:t xml:space="preserve"> arriving at a judgement</w:t>
      </w:r>
      <w:r w:rsidR="009F2B5B" w:rsidRPr="00FC44F3">
        <w:rPr>
          <w:rFonts w:asciiTheme="minorHAnsi" w:eastAsiaTheme="minorEastAsia" w:hAnsiTheme="minorHAnsi" w:cstheme="minorBidi"/>
          <w:lang w:eastAsia="en-US"/>
        </w:rPr>
        <w:t xml:space="preserve">, we will share it. </w:t>
      </w:r>
      <w:r w:rsidR="00C07B73" w:rsidRPr="00FC44F3">
        <w:rPr>
          <w:rFonts w:asciiTheme="minorHAnsi" w:eastAsiaTheme="minorEastAsia" w:hAnsiTheme="minorHAnsi" w:cstheme="minorBidi"/>
          <w:lang w:eastAsia="en-US"/>
        </w:rPr>
        <w:t xml:space="preserve"> </w:t>
      </w:r>
    </w:p>
    <w:p w14:paraId="67094D34" w14:textId="7A990C25" w:rsidR="00980D97" w:rsidRDefault="005C7B62" w:rsidP="00E823CC">
      <w:r w:rsidRPr="00AE3958">
        <w:t>The following circumstances are likely</w:t>
      </w:r>
      <w:r w:rsidR="0052794F" w:rsidRPr="00AE3958">
        <w:t xml:space="preserve"> (note that</w:t>
      </w:r>
      <w:r w:rsidR="00676592" w:rsidRPr="00AE3958">
        <w:t xml:space="preserve"> small scale extensions and alterations to existing buildings </w:t>
      </w:r>
      <w:r w:rsidR="00E230E7" w:rsidRPr="00AE3958">
        <w:t>are covered by part b of policy 22</w:t>
      </w:r>
      <w:r w:rsidR="00FF2FBF" w:rsidRPr="00AE3958">
        <w:t xml:space="preserve">, which are covered by </w:t>
      </w:r>
      <w:r w:rsidR="00FF2FBF" w:rsidRPr="00B46C2F">
        <w:t>SEPA’s standing advice</w:t>
      </w:r>
      <w:r w:rsidR="00E230E7" w:rsidRPr="00AE3958">
        <w:t>)</w:t>
      </w:r>
      <w:r w:rsidR="003A3AEF" w:rsidRPr="00AE3958">
        <w:t>:</w:t>
      </w:r>
      <w:r w:rsidR="00911319">
        <w:t xml:space="preserve"> </w:t>
      </w:r>
    </w:p>
    <w:p w14:paraId="11234B27" w14:textId="1296A27E" w:rsidR="005C7B62" w:rsidRPr="00D2408B" w:rsidRDefault="00D2408B" w:rsidP="00E823CC">
      <w:pPr>
        <w:rPr>
          <w:b/>
          <w:bCs/>
        </w:rPr>
      </w:pPr>
      <w:r w:rsidRPr="2369DBD8">
        <w:rPr>
          <w:b/>
          <w:bCs/>
        </w:rPr>
        <w:t xml:space="preserve">Table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5114"/>
      </w:tblGrid>
      <w:tr w:rsidR="00762709" w:rsidRPr="004A3D75" w14:paraId="2CB6EAF5" w14:textId="77777777" w:rsidTr="00AF327E">
        <w:trPr>
          <w:trHeight w:val="610"/>
          <w:tblHeader/>
        </w:trPr>
        <w:tc>
          <w:tcPr>
            <w:tcW w:w="24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E8B65" w14:textId="47526628" w:rsidR="007317AE" w:rsidRPr="004A3D75" w:rsidRDefault="007317AE" w:rsidP="00E54B9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bookmarkStart w:id="0" w:name="_Hlk135317034"/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Planning authority advises:              </w:t>
            </w:r>
          </w:p>
        </w:tc>
        <w:tc>
          <w:tcPr>
            <w:tcW w:w="2504" w:type="pct"/>
          </w:tcPr>
          <w:p w14:paraId="20F9DD99" w14:textId="6571C6CA" w:rsidR="007317AE" w:rsidRPr="004A3D75" w:rsidRDefault="00E54B9F" w:rsidP="00E54B9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</w:t>
            </w:r>
            <w:r w:rsidR="007317AE">
              <w:rPr>
                <w:rFonts w:ascii="Arial" w:eastAsia="Times New Roman" w:hAnsi="Arial" w:cs="Arial"/>
                <w:b/>
                <w:bCs/>
                <w:lang w:eastAsia="en-GB"/>
              </w:rPr>
              <w:t>SEPA a</w:t>
            </w:r>
            <w:r w:rsidR="006F2042">
              <w:rPr>
                <w:rFonts w:ascii="Arial" w:eastAsia="Times New Roman" w:hAnsi="Arial" w:cs="Arial"/>
                <w:b/>
                <w:bCs/>
                <w:lang w:eastAsia="en-GB"/>
              </w:rPr>
              <w:t>pproach</w:t>
            </w:r>
            <w:r w:rsidR="003C2B2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: </w:t>
            </w:r>
          </w:p>
        </w:tc>
      </w:tr>
      <w:tr w:rsidR="00535E52" w:rsidRPr="004A3D75" w14:paraId="62B9FAFD" w14:textId="77777777">
        <w:trPr>
          <w:trHeight w:val="3358"/>
        </w:trPr>
        <w:tc>
          <w:tcPr>
            <w:tcW w:w="249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38EF" w14:textId="77777777" w:rsidR="00535E52" w:rsidRDefault="00535E52" w:rsidP="00650C56">
            <w:pPr>
              <w:spacing w:before="240" w:after="120"/>
            </w:pPr>
            <w:r>
              <w:t>Exception (</w:t>
            </w:r>
            <w:proofErr w:type="spellStart"/>
            <w:r>
              <w:t>i</w:t>
            </w:r>
            <w:proofErr w:type="spellEnd"/>
            <w:r>
              <w:t>) or (ii) is applicable</w:t>
            </w:r>
          </w:p>
          <w:p w14:paraId="69A834D8" w14:textId="77777777" w:rsidR="00535E52" w:rsidRDefault="00535E52" w:rsidP="00BC637C">
            <w:pPr>
              <w:spacing w:before="120" w:after="120"/>
            </w:pPr>
          </w:p>
          <w:p w14:paraId="698910BA" w14:textId="4EE7A52F" w:rsidR="00BC637C" w:rsidRDefault="00535E52" w:rsidP="00BC637C">
            <w:pPr>
              <w:spacing w:before="120" w:after="120"/>
            </w:pPr>
            <w:r>
              <w:t xml:space="preserve">If </w:t>
            </w:r>
            <w:r w:rsidR="00193B39">
              <w:t xml:space="preserve">potential </w:t>
            </w:r>
            <w:r>
              <w:t>floodplain loss is involved, this should be clearly indicated in the consultation email</w:t>
            </w:r>
            <w:r w:rsidR="00BC637C">
              <w:t xml:space="preserve">. </w:t>
            </w:r>
          </w:p>
          <w:p w14:paraId="00609193" w14:textId="21ACBAC5" w:rsidR="00535E52" w:rsidRPr="00BC637C" w:rsidRDefault="00535E52" w:rsidP="00BC637C">
            <w:pPr>
              <w:spacing w:before="120" w:after="120"/>
            </w:pPr>
            <w:r>
              <w:t xml:space="preserve">If there is no floodplain loss involved, then the planning authority should </w:t>
            </w:r>
            <w:r w:rsidR="00845961">
              <w:t xml:space="preserve">not consult SEPA but instead </w:t>
            </w:r>
            <w:r>
              <w:t xml:space="preserve">refer to </w:t>
            </w:r>
            <w:hyperlink r:id="rId14" w:history="1">
              <w:r w:rsidRPr="004A7ABF">
                <w:rPr>
                  <w:rStyle w:val="Hyperlink"/>
                </w:rPr>
                <w:t>SEPA’s standing advice</w:t>
              </w:r>
            </w:hyperlink>
            <w:r w:rsidRPr="004A7ABF">
              <w:t xml:space="preserve">, </w:t>
            </w:r>
          </w:p>
        </w:tc>
        <w:tc>
          <w:tcPr>
            <w:tcW w:w="25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FA97" w14:textId="5E1D52ED" w:rsidR="00B6383F" w:rsidRDefault="00535E52" w:rsidP="00650C56">
            <w:pPr>
              <w:spacing w:before="240"/>
              <w:rPr>
                <w:rFonts w:ascii="Arial" w:eastAsia="Times New Roman" w:hAnsi="Arial" w:cs="Arial"/>
                <w:lang w:eastAsia="en-GB"/>
              </w:rPr>
            </w:pPr>
            <w:r w:rsidRPr="00844734">
              <w:t>If floodplain loss is involved, w</w:t>
            </w:r>
            <w:r w:rsidRPr="00844734">
              <w:rPr>
                <w:rFonts w:ascii="Arial" w:eastAsia="Times New Roman" w:hAnsi="Arial" w:cs="Arial"/>
                <w:lang w:eastAsia="en-GB"/>
              </w:rPr>
              <w:t>e will provide a response in the usual way, up to and including objection if deemed appropriate, structured around how we consider the development fits with the applicable bullet points.</w:t>
            </w:r>
          </w:p>
          <w:p w14:paraId="4396EBDB" w14:textId="77777777" w:rsidR="00B6383F" w:rsidRDefault="00B6383F" w:rsidP="00BC637C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12FFDF7" w14:textId="77777777" w:rsidR="00B6383F" w:rsidRDefault="00B6383F" w:rsidP="00BC637C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0319B7C" w14:textId="77777777" w:rsidR="00B6383F" w:rsidRDefault="00B6383F" w:rsidP="00BC637C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BC6F534" w14:textId="77777777" w:rsidR="00B6383F" w:rsidRDefault="00B6383F" w:rsidP="00BC637C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ABF94BD" w14:textId="2C17F34E" w:rsidR="00B6383F" w:rsidRPr="005E2212" w:rsidRDefault="00B6383F" w:rsidP="00BC637C"/>
        </w:tc>
      </w:tr>
      <w:tr w:rsidR="00762709" w:rsidRPr="004A3D75" w14:paraId="2386CAF0" w14:textId="77777777" w:rsidTr="00BB2B25">
        <w:trPr>
          <w:trHeight w:val="6053"/>
        </w:trPr>
        <w:tc>
          <w:tcPr>
            <w:tcW w:w="249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C260" w14:textId="49166DDF" w:rsidR="001E2216" w:rsidRPr="00AF5873" w:rsidRDefault="316A41D4" w:rsidP="00650C56">
            <w:pPr>
              <w:spacing w:before="240"/>
            </w:pPr>
            <w:r>
              <w:lastRenderedPageBreak/>
              <w:t>Exception (iii) is applicable</w:t>
            </w:r>
            <w:r w:rsidR="4D3CD0FE">
              <w:t xml:space="preserve"> because the development constitutes the redevelopment of an existing building or sit</w:t>
            </w:r>
            <w:r w:rsidR="4DBB5382">
              <w:t>e</w:t>
            </w:r>
            <w:r w:rsidR="00CF57EF">
              <w:t xml:space="preserve"> </w:t>
            </w:r>
            <w:r w:rsidR="00641CBE">
              <w:t>and t</w:t>
            </w:r>
            <w:r w:rsidR="00C13F67">
              <w:t>he planning authority</w:t>
            </w:r>
            <w:r w:rsidR="00641CBE">
              <w:t xml:space="preserve">: </w:t>
            </w:r>
          </w:p>
          <w:p w14:paraId="25B029ED" w14:textId="135D3369" w:rsidR="00B705CE" w:rsidRPr="00AF5873" w:rsidRDefault="00641CBE" w:rsidP="00AF5873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5873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E61020" w:rsidRPr="00AF5873">
              <w:rPr>
                <w:rFonts w:ascii="Arial" w:hAnsi="Arial" w:cs="Arial"/>
                <w:sz w:val="24"/>
                <w:szCs w:val="24"/>
              </w:rPr>
              <w:t xml:space="preserve">unsure whether the development </w:t>
            </w:r>
            <w:r w:rsidR="00E66065" w:rsidRPr="00AF5873">
              <w:rPr>
                <w:rFonts w:ascii="Arial" w:hAnsi="Arial" w:cs="Arial"/>
                <w:sz w:val="24"/>
                <w:szCs w:val="24"/>
              </w:rPr>
              <w:t>is for a</w:t>
            </w:r>
            <w:r w:rsidR="001D7604">
              <w:rPr>
                <w:rFonts w:ascii="Arial" w:hAnsi="Arial" w:cs="Arial"/>
                <w:sz w:val="24"/>
                <w:szCs w:val="24"/>
              </w:rPr>
              <w:t>n equal or</w:t>
            </w:r>
            <w:r w:rsidR="00421D27" w:rsidRPr="00AF58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1020" w:rsidRPr="00AF5873">
              <w:rPr>
                <w:rFonts w:ascii="Arial" w:hAnsi="Arial" w:cs="Arial"/>
                <w:sz w:val="24"/>
                <w:szCs w:val="24"/>
              </w:rPr>
              <w:t xml:space="preserve">more </w:t>
            </w:r>
            <w:r w:rsidR="00421D27" w:rsidRPr="00AF5873">
              <w:rPr>
                <w:rFonts w:ascii="Arial" w:hAnsi="Arial" w:cs="Arial"/>
                <w:sz w:val="24"/>
                <w:szCs w:val="24"/>
              </w:rPr>
              <w:t>vulnerable use</w:t>
            </w:r>
            <w:r w:rsidR="00A8106F" w:rsidRPr="00AF58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5349" w:rsidRPr="00AF5873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7453FFE6" w14:textId="42707627" w:rsidR="001E2216" w:rsidRPr="00650C56" w:rsidRDefault="00561CF0" w:rsidP="00580622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5873">
              <w:rPr>
                <w:rFonts w:ascii="Arial" w:eastAsiaTheme="minorEastAsia" w:hAnsi="Arial" w:cs="Arial"/>
                <w:sz w:val="24"/>
                <w:szCs w:val="24"/>
                <w14:ligatures w14:val="none"/>
              </w:rPr>
              <w:t>consider</w:t>
            </w:r>
            <w:r w:rsidR="00580622" w:rsidRPr="00AF5873">
              <w:rPr>
                <w:rFonts w:ascii="Arial" w:eastAsiaTheme="minorEastAsia" w:hAnsi="Arial" w:cs="Arial"/>
                <w:sz w:val="24"/>
                <w:szCs w:val="24"/>
                <w14:ligatures w14:val="none"/>
              </w:rPr>
              <w:t>s</w:t>
            </w:r>
            <w:r w:rsidRPr="00AF5873">
              <w:rPr>
                <w:rFonts w:ascii="Arial" w:eastAsiaTheme="minorEastAsia" w:hAnsi="Arial" w:cs="Arial"/>
                <w:sz w:val="24"/>
                <w:szCs w:val="24"/>
                <w14:ligatures w14:val="none"/>
              </w:rPr>
              <w:t xml:space="preserve"> the development </w:t>
            </w:r>
            <w:r w:rsidR="005B4250">
              <w:rPr>
                <w:rFonts w:ascii="Arial" w:eastAsiaTheme="minorEastAsia" w:hAnsi="Arial" w:cs="Arial"/>
                <w:sz w:val="24"/>
                <w:szCs w:val="24"/>
                <w14:ligatures w14:val="none"/>
              </w:rPr>
              <w:t>is</w:t>
            </w:r>
            <w:r w:rsidRPr="00AF5873">
              <w:rPr>
                <w:rFonts w:ascii="Arial" w:eastAsiaTheme="minorEastAsia" w:hAnsi="Arial" w:cs="Arial"/>
                <w:sz w:val="24"/>
                <w:szCs w:val="24"/>
                <w14:ligatures w14:val="none"/>
              </w:rPr>
              <w:t xml:space="preserve"> for a more vulnerable use</w:t>
            </w:r>
            <w:r w:rsidR="00BC4331">
              <w:rPr>
                <w:rFonts w:ascii="Arial" w:eastAsiaTheme="minorEastAsia" w:hAnsi="Arial" w:cs="Arial"/>
                <w:sz w:val="24"/>
                <w:szCs w:val="24"/>
                <w14:ligatures w14:val="none"/>
              </w:rPr>
              <w:t xml:space="preserve"> (i.e. exception </w:t>
            </w:r>
            <w:r w:rsidR="00742026">
              <w:rPr>
                <w:rFonts w:ascii="Arial" w:eastAsiaTheme="minorEastAsia" w:hAnsi="Arial" w:cs="Arial"/>
                <w:sz w:val="24"/>
                <w:szCs w:val="24"/>
                <w14:ligatures w14:val="none"/>
              </w:rPr>
              <w:t xml:space="preserve">(iii) </w:t>
            </w:r>
            <w:r w:rsidR="005B4250">
              <w:rPr>
                <w:rFonts w:ascii="Arial" w:eastAsiaTheme="minorEastAsia" w:hAnsi="Arial" w:cs="Arial"/>
                <w:sz w:val="24"/>
                <w:szCs w:val="24"/>
                <w14:ligatures w14:val="none"/>
              </w:rPr>
              <w:t xml:space="preserve">does </w:t>
            </w:r>
            <w:r w:rsidR="00742026">
              <w:rPr>
                <w:rFonts w:ascii="Arial" w:eastAsiaTheme="minorEastAsia" w:hAnsi="Arial" w:cs="Arial"/>
                <w:sz w:val="24"/>
                <w:szCs w:val="24"/>
                <w14:ligatures w14:val="none"/>
              </w:rPr>
              <w:t>not apply)</w:t>
            </w:r>
            <w:r w:rsidR="006841C6">
              <w:rPr>
                <w:rFonts w:ascii="Arial" w:eastAsiaTheme="minorEastAsia" w:hAnsi="Arial" w:cs="Arial"/>
                <w:sz w:val="24"/>
                <w:szCs w:val="24"/>
                <w14:ligatures w14:val="none"/>
              </w:rPr>
              <w:t xml:space="preserve"> </w:t>
            </w:r>
          </w:p>
          <w:p w14:paraId="6605942A" w14:textId="6F7189A3" w:rsidR="00CE3EF7" w:rsidRDefault="0064243E" w:rsidP="00580622">
            <w:r>
              <w:t>The c</w:t>
            </w:r>
            <w:r w:rsidR="006841C6">
              <w:t xml:space="preserve">onsultation email should clearly indicate if </w:t>
            </w:r>
            <w:r w:rsidR="00420CA5">
              <w:t>advice is sought on A or B</w:t>
            </w:r>
            <w:r w:rsidR="00CE3EF7">
              <w:t xml:space="preserve">. </w:t>
            </w:r>
          </w:p>
          <w:p w14:paraId="0F10E7FF" w14:textId="26033C18" w:rsidR="005C7883" w:rsidRDefault="005C1F6C" w:rsidP="00580622">
            <w:r>
              <w:t xml:space="preserve">Planning authorities can use </w:t>
            </w:r>
            <w:r w:rsidR="147FEC61" w:rsidRPr="00580622">
              <w:t>SEPA’s Land Use Vulnerability Guidance</w:t>
            </w:r>
            <w:r>
              <w:t xml:space="preserve"> to inform their view. </w:t>
            </w:r>
          </w:p>
          <w:p w14:paraId="1B86743C" w14:textId="6D38DA59" w:rsidR="003E4910" w:rsidRDefault="00055008" w:rsidP="00762714">
            <w:r w:rsidRPr="009E662A">
              <w:t>Note that where a</w:t>
            </w:r>
            <w:r w:rsidR="00321282" w:rsidRPr="009E662A">
              <w:t xml:space="preserve"> planning authority </w:t>
            </w:r>
            <w:r w:rsidR="008C5C81">
              <w:t xml:space="preserve">is certain a </w:t>
            </w:r>
            <w:r w:rsidR="00F14B49" w:rsidRPr="009E662A">
              <w:t>development meet</w:t>
            </w:r>
            <w:r w:rsidR="00FF5349" w:rsidRPr="009E662A">
              <w:t>s</w:t>
            </w:r>
            <w:r w:rsidR="00F14B49" w:rsidRPr="009E662A">
              <w:t xml:space="preserve"> with all parts of exception </w:t>
            </w:r>
            <w:r w:rsidR="00FF5349" w:rsidRPr="009E662A">
              <w:t xml:space="preserve">(iii) then </w:t>
            </w:r>
            <w:r w:rsidR="002208AA">
              <w:t xml:space="preserve">the planning authority should </w:t>
            </w:r>
            <w:r w:rsidR="00532CBF">
              <w:t xml:space="preserve">not consult SEPA but instead </w:t>
            </w:r>
            <w:r w:rsidR="002208AA">
              <w:t xml:space="preserve">refer to </w:t>
            </w:r>
            <w:r w:rsidR="002208AA" w:rsidRPr="2C780EEE">
              <w:rPr>
                <w:u w:val="single"/>
              </w:rPr>
              <w:t>SEPA’s standing advice</w:t>
            </w:r>
            <w:r w:rsidR="00532CBF">
              <w:rPr>
                <w:u w:val="single"/>
              </w:rPr>
              <w:t xml:space="preserve">. </w:t>
            </w:r>
          </w:p>
          <w:p w14:paraId="253C9A85" w14:textId="0A76050B" w:rsidR="00762709" w:rsidRPr="00B248E4" w:rsidRDefault="00762709" w:rsidP="00762714"/>
        </w:tc>
        <w:tc>
          <w:tcPr>
            <w:tcW w:w="25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9648D" w14:textId="6F29EF3C" w:rsidR="007B7256" w:rsidRPr="004C5F45" w:rsidRDefault="00A75EFA" w:rsidP="00650C56">
            <w:pPr>
              <w:pStyle w:val="pf0"/>
              <w:spacing w:before="240" w:beforeAutospacing="0" w:line="360" w:lineRule="auto"/>
              <w:rPr>
                <w:rFonts w:asciiTheme="minorHAnsi" w:eastAsiaTheme="minorEastAsia" w:hAnsiTheme="minorHAnsi" w:cstheme="minorBidi"/>
                <w:lang w:eastAsia="en-US"/>
              </w:rPr>
            </w:pPr>
            <w:r w:rsidRPr="004C5F45">
              <w:rPr>
                <w:rFonts w:asciiTheme="minorHAnsi" w:eastAsiaTheme="minorEastAsia" w:hAnsiTheme="minorHAnsi" w:cstheme="minorBidi"/>
                <w:lang w:eastAsia="en-US"/>
              </w:rPr>
              <w:t xml:space="preserve">If </w:t>
            </w:r>
            <w:r w:rsidR="00BD4FC6" w:rsidRPr="004C5F45">
              <w:rPr>
                <w:rFonts w:asciiTheme="minorHAnsi" w:eastAsiaTheme="minorEastAsia" w:hAnsiTheme="minorHAnsi" w:cstheme="minorBidi"/>
                <w:lang w:eastAsia="en-US"/>
              </w:rPr>
              <w:t xml:space="preserve">SEPA considers the development to be for an equal or less vulnerable </w:t>
            </w:r>
            <w:r w:rsidR="00A55954">
              <w:rPr>
                <w:rFonts w:asciiTheme="minorHAnsi" w:eastAsiaTheme="minorEastAsia" w:hAnsiTheme="minorHAnsi" w:cstheme="minorBidi"/>
                <w:lang w:eastAsia="en-US"/>
              </w:rPr>
              <w:t xml:space="preserve">use </w:t>
            </w:r>
            <w:r w:rsidR="00BD4FC6" w:rsidRPr="004C5F45">
              <w:rPr>
                <w:rFonts w:asciiTheme="minorHAnsi" w:eastAsiaTheme="minorEastAsia" w:hAnsiTheme="minorHAnsi" w:cstheme="minorBidi"/>
                <w:lang w:eastAsia="en-US"/>
              </w:rPr>
              <w:t xml:space="preserve">then </w:t>
            </w:r>
            <w:r w:rsidR="00AD69EA" w:rsidRPr="004C5F45">
              <w:rPr>
                <w:rFonts w:asciiTheme="minorHAnsi" w:eastAsiaTheme="minorEastAsia" w:hAnsiTheme="minorHAnsi" w:cstheme="minorBidi"/>
                <w:lang w:eastAsia="en-US"/>
              </w:rPr>
              <w:t>we will direct planning authorities to our standing advice</w:t>
            </w:r>
            <w:r w:rsidR="00A55954">
              <w:rPr>
                <w:rFonts w:asciiTheme="minorHAnsi" w:eastAsiaTheme="minorEastAsia" w:hAnsiTheme="minorHAnsi" w:cstheme="minorBidi"/>
                <w:lang w:eastAsia="en-US"/>
              </w:rPr>
              <w:t xml:space="preserve">, </w:t>
            </w:r>
            <w:r w:rsidR="00D1008D">
              <w:rPr>
                <w:rFonts w:asciiTheme="minorHAnsi" w:eastAsiaTheme="minorEastAsia" w:hAnsiTheme="minorHAnsi" w:cstheme="minorBidi"/>
                <w:lang w:eastAsia="en-US"/>
              </w:rPr>
              <w:t xml:space="preserve">explaining our view with reference to </w:t>
            </w:r>
            <w:r w:rsidR="00A00BEF" w:rsidRPr="004C5F45">
              <w:rPr>
                <w:rFonts w:asciiTheme="minorHAnsi" w:eastAsiaTheme="minorEastAsia" w:hAnsiTheme="minorHAnsi" w:cstheme="minorBidi"/>
                <w:lang w:eastAsia="en-US"/>
              </w:rPr>
              <w:t>our Land Use Vulnerability Guidance</w:t>
            </w:r>
            <w:r w:rsidR="00D1008D">
              <w:rPr>
                <w:rFonts w:asciiTheme="minorHAnsi" w:eastAsiaTheme="minorEastAsia" w:hAnsiTheme="minorHAnsi" w:cstheme="minorBidi"/>
                <w:lang w:eastAsia="en-US"/>
              </w:rPr>
              <w:t xml:space="preserve"> if relevant. </w:t>
            </w:r>
          </w:p>
          <w:p w14:paraId="22013624" w14:textId="10A4E230" w:rsidR="005E2212" w:rsidRPr="004C5F45" w:rsidRDefault="00E2072B" w:rsidP="00AD69EA">
            <w:pPr>
              <w:pStyle w:val="pf0"/>
              <w:spacing w:line="360" w:lineRule="auto"/>
              <w:rPr>
                <w:rFonts w:asciiTheme="minorHAnsi" w:eastAsiaTheme="minorEastAsia" w:hAnsiTheme="minorHAnsi" w:cstheme="minorBidi"/>
                <w:lang w:eastAsia="en-US"/>
              </w:rPr>
            </w:pPr>
            <w:r w:rsidRPr="004C5F45">
              <w:rPr>
                <w:rFonts w:asciiTheme="minorHAnsi" w:eastAsiaTheme="minorEastAsia" w:hAnsiTheme="minorHAnsi" w:cstheme="minorBidi"/>
                <w:lang w:eastAsia="en-US"/>
              </w:rPr>
              <w:t xml:space="preserve">If SEPA </w:t>
            </w:r>
            <w:r w:rsidR="00742026" w:rsidRPr="004C5F45">
              <w:rPr>
                <w:rFonts w:asciiTheme="minorHAnsi" w:eastAsiaTheme="minorEastAsia" w:hAnsiTheme="minorHAnsi" w:cstheme="minorBidi"/>
                <w:lang w:eastAsia="en-US"/>
              </w:rPr>
              <w:t xml:space="preserve">agrees </w:t>
            </w:r>
            <w:r w:rsidRPr="004C5F45">
              <w:rPr>
                <w:rFonts w:asciiTheme="minorHAnsi" w:eastAsiaTheme="minorEastAsia" w:hAnsiTheme="minorHAnsi" w:cstheme="minorBidi"/>
                <w:lang w:eastAsia="en-US"/>
              </w:rPr>
              <w:t xml:space="preserve">the </w:t>
            </w:r>
            <w:r w:rsidR="009145DE" w:rsidRPr="004C5F45">
              <w:rPr>
                <w:rFonts w:asciiTheme="minorHAnsi" w:eastAsiaTheme="minorEastAsia" w:hAnsiTheme="minorHAnsi" w:cstheme="minorBidi"/>
                <w:lang w:eastAsia="en-US"/>
              </w:rPr>
              <w:t xml:space="preserve">development </w:t>
            </w:r>
            <w:r w:rsidR="00742026" w:rsidRPr="004C5F45">
              <w:rPr>
                <w:rFonts w:asciiTheme="minorHAnsi" w:eastAsiaTheme="minorEastAsia" w:hAnsiTheme="minorHAnsi" w:cstheme="minorBidi"/>
                <w:lang w:eastAsia="en-US"/>
              </w:rPr>
              <w:t>is</w:t>
            </w:r>
            <w:r w:rsidR="009145DE" w:rsidRPr="004C5F45">
              <w:rPr>
                <w:rFonts w:asciiTheme="minorHAnsi" w:eastAsiaTheme="minorEastAsia" w:hAnsiTheme="minorHAnsi" w:cstheme="minorBidi"/>
                <w:lang w:eastAsia="en-US"/>
              </w:rPr>
              <w:t xml:space="preserve"> for a more vulnerable </w:t>
            </w:r>
            <w:r w:rsidR="0011227C" w:rsidRPr="004C5F45">
              <w:rPr>
                <w:rFonts w:asciiTheme="minorHAnsi" w:eastAsiaTheme="minorEastAsia" w:hAnsiTheme="minorHAnsi" w:cstheme="minorBidi"/>
                <w:lang w:eastAsia="en-US"/>
              </w:rPr>
              <w:t>use (with reference to our Land Use Vulnerability Guidance</w:t>
            </w:r>
            <w:r w:rsidR="00C82BD9" w:rsidRPr="004C5F45">
              <w:rPr>
                <w:rFonts w:asciiTheme="minorHAnsi" w:eastAsiaTheme="minorEastAsia" w:hAnsiTheme="minorHAnsi" w:cstheme="minorBidi"/>
                <w:lang w:eastAsia="en-US"/>
              </w:rPr>
              <w:t xml:space="preserve">) </w:t>
            </w:r>
            <w:r w:rsidR="004C5F45" w:rsidRPr="004C5F45">
              <w:rPr>
                <w:rFonts w:asciiTheme="minorHAnsi" w:eastAsiaTheme="minorEastAsia" w:hAnsiTheme="minorHAnsi" w:cstheme="minorBidi"/>
                <w:lang w:eastAsia="en-US"/>
              </w:rPr>
              <w:t>we will provide a response in the usual way, up to and including objection if deemed appropriate</w:t>
            </w:r>
            <w:r w:rsidR="004C5F45">
              <w:rPr>
                <w:rFonts w:asciiTheme="minorHAnsi" w:eastAsiaTheme="minorEastAsia" w:hAnsiTheme="minorHAnsi" w:cstheme="minorBidi"/>
                <w:lang w:eastAsia="en-US"/>
              </w:rPr>
              <w:t xml:space="preserve">. </w:t>
            </w:r>
            <w:r w:rsidR="004C5F45" w:rsidRPr="004C5F45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</w:p>
        </w:tc>
      </w:tr>
      <w:tr w:rsidR="00762709" w:rsidRPr="004A3D75" w14:paraId="3E4E5505" w14:textId="77777777" w:rsidTr="00AF327E">
        <w:trPr>
          <w:trHeight w:val="300"/>
        </w:trPr>
        <w:tc>
          <w:tcPr>
            <w:tcW w:w="249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B1F2" w14:textId="1EF5E486" w:rsidR="00057A8E" w:rsidRDefault="00293CEB" w:rsidP="00650C56">
            <w:pPr>
              <w:spacing w:before="240"/>
            </w:pPr>
            <w:r>
              <w:t>Exception (iv) is applicable</w:t>
            </w:r>
            <w:r w:rsidR="00057A8E">
              <w:t xml:space="preserve"> because </w:t>
            </w:r>
            <w:r w:rsidR="00E2132D">
              <w:t xml:space="preserve">the development constitutes a </w:t>
            </w:r>
            <w:r w:rsidR="00057A8E" w:rsidRPr="00057A8E">
              <w:t xml:space="preserve">redevelopment of </w:t>
            </w:r>
            <w:r w:rsidR="00E2132D">
              <w:t xml:space="preserve">a </w:t>
            </w:r>
            <w:r w:rsidR="00057A8E" w:rsidRPr="00057A8E">
              <w:t xml:space="preserve">previously used site in </w:t>
            </w:r>
            <w:r w:rsidR="00E2132D">
              <w:t xml:space="preserve">a </w:t>
            </w:r>
            <w:proofErr w:type="gramStart"/>
            <w:r w:rsidR="00057A8E" w:rsidRPr="00057A8E">
              <w:t>built up</w:t>
            </w:r>
            <w:proofErr w:type="gramEnd"/>
            <w:r w:rsidR="00057A8E" w:rsidRPr="00057A8E">
              <w:t xml:space="preserve"> area where </w:t>
            </w:r>
            <w:r w:rsidR="00057A8E" w:rsidRPr="00057A8E">
              <w:lastRenderedPageBreak/>
              <w:t>the LDP has identified a need to bring these into positive use</w:t>
            </w:r>
            <w:r w:rsidR="00057A8E">
              <w:t xml:space="preserve">.  </w:t>
            </w:r>
          </w:p>
          <w:p w14:paraId="05241416" w14:textId="5C3073E5" w:rsidR="003C2B2C" w:rsidRPr="00057A8E" w:rsidRDefault="003C2B2C" w:rsidP="00722CF9">
            <w:pPr>
              <w:spacing w:before="120" w:after="120"/>
            </w:pPr>
          </w:p>
        </w:tc>
        <w:tc>
          <w:tcPr>
            <w:tcW w:w="25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4EFE" w14:textId="1284CD1C" w:rsidR="00650C56" w:rsidRPr="004A3D75" w:rsidRDefault="00825844" w:rsidP="00650C56">
            <w:pPr>
              <w:spacing w:before="240" w:after="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SEPA will consider the development proposal relative to our guidance on elevated buildings and</w:t>
            </w:r>
            <w:r w:rsidR="00101097">
              <w:rPr>
                <w:rFonts w:ascii="Arial" w:eastAsia="Times New Roman" w:hAnsi="Arial" w:cs="Arial"/>
                <w:lang w:eastAsia="en-GB"/>
              </w:rPr>
              <w:t xml:space="preserve">/or </w:t>
            </w:r>
            <w:proofErr w:type="spellStart"/>
            <w:r w:rsidR="00101097">
              <w:rPr>
                <w:rFonts w:ascii="Arial" w:eastAsia="Times New Roman" w:hAnsi="Arial" w:cs="Arial"/>
                <w:lang w:eastAsia="en-GB"/>
              </w:rPr>
              <w:t>landraising</w:t>
            </w:r>
            <w:proofErr w:type="spellEnd"/>
            <w:r w:rsidR="00101097">
              <w:rPr>
                <w:rFonts w:ascii="Arial" w:eastAsia="Times New Roman" w:hAnsi="Arial" w:cs="Arial"/>
                <w:lang w:eastAsia="en-GB"/>
              </w:rPr>
              <w:t>,</w:t>
            </w:r>
            <w:r>
              <w:rPr>
                <w:rFonts w:ascii="Arial" w:eastAsia="Times New Roman" w:hAnsi="Arial" w:cs="Arial"/>
                <w:lang w:eastAsia="en-GB"/>
              </w:rPr>
              <w:t xml:space="preserve"> and the bullet points that sit under the exceptions in Policy 22</w:t>
            </w:r>
            <w:r w:rsidR="00101097">
              <w:rPr>
                <w:rFonts w:ascii="Arial" w:eastAsia="Times New Roman" w:hAnsi="Arial" w:cs="Arial"/>
                <w:lang w:eastAsia="en-GB"/>
              </w:rPr>
              <w:t xml:space="preserve"> as </w:t>
            </w:r>
            <w:r w:rsidR="00101097">
              <w:rPr>
                <w:rFonts w:ascii="Arial" w:eastAsia="Times New Roman" w:hAnsi="Arial" w:cs="Arial"/>
                <w:lang w:eastAsia="en-GB"/>
              </w:rPr>
              <w:lastRenderedPageBreak/>
              <w:t>applicable</w:t>
            </w:r>
            <w:r>
              <w:rPr>
                <w:rFonts w:ascii="Arial" w:eastAsia="Times New Roman" w:hAnsi="Arial" w:cs="Arial"/>
                <w:lang w:eastAsia="en-GB"/>
              </w:rPr>
              <w:t xml:space="preserve">. </w:t>
            </w:r>
            <w:r w:rsidR="00E32DCD">
              <w:rPr>
                <w:rFonts w:ascii="Arial" w:eastAsia="Times New Roman" w:hAnsi="Arial" w:cs="Arial"/>
                <w:lang w:eastAsia="en-GB"/>
              </w:rPr>
              <w:t>We will provide a response in the usual way, up to and including objection if deemed appropriate, structured around how we consider the development fits with the applicable bullet points.</w:t>
            </w:r>
          </w:p>
        </w:tc>
      </w:tr>
      <w:tr w:rsidR="001500F1" w:rsidRPr="004A3D75" w14:paraId="71496C12" w14:textId="77777777" w:rsidTr="00210184">
        <w:trPr>
          <w:trHeight w:val="3218"/>
        </w:trPr>
        <w:tc>
          <w:tcPr>
            <w:tcW w:w="249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732C" w14:textId="0DC6DDCD" w:rsidR="001500F1" w:rsidRPr="00512E93" w:rsidRDefault="001500F1" w:rsidP="00BB2363">
            <w:pPr>
              <w:spacing w:before="240" w:after="120"/>
            </w:pPr>
            <w:r>
              <w:lastRenderedPageBreak/>
              <w:t xml:space="preserve">No exceptions are </w:t>
            </w:r>
            <w:r w:rsidR="0021305A">
              <w:t>applicable,</w:t>
            </w:r>
            <w:r w:rsidR="008E37C3">
              <w:t xml:space="preserve"> and the proposal is not covered by SEPA’s standing advice</w:t>
            </w:r>
            <w:r>
              <w:t xml:space="preserve">.  </w:t>
            </w:r>
          </w:p>
        </w:tc>
        <w:tc>
          <w:tcPr>
            <w:tcW w:w="25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EEC9" w14:textId="58B09D22" w:rsidR="00157EBD" w:rsidRPr="00157EBD" w:rsidRDefault="00157EBD" w:rsidP="00BB2363">
            <w:pPr>
              <w:spacing w:before="240"/>
              <w:rPr>
                <w:rFonts w:eastAsiaTheme="minorHAnsi"/>
              </w:rPr>
            </w:pPr>
            <w:r w:rsidRPr="00157EBD">
              <w:t xml:space="preserve">If the site is at risk of flooding, we will provide a site-specific response in the usual way, up to and including objection. If the risk/vulnerability </w:t>
            </w:r>
            <w:proofErr w:type="gramStart"/>
            <w:r w:rsidRPr="00157EBD">
              <w:t>is considered to be</w:t>
            </w:r>
            <w:proofErr w:type="gramEnd"/>
            <w:r w:rsidRPr="00157EBD">
              <w:t xml:space="preserve"> low or not significantly different to the pre-development situation we will provide a response </w:t>
            </w:r>
            <w:proofErr w:type="gramStart"/>
            <w:r w:rsidRPr="00157EBD">
              <w:t>explaining</w:t>
            </w:r>
            <w:proofErr w:type="gramEnd"/>
            <w:r w:rsidRPr="00157EBD">
              <w:t xml:space="preserve"> we have no issues to raise and </w:t>
            </w:r>
            <w:proofErr w:type="gramStart"/>
            <w:r w:rsidRPr="00157EBD">
              <w:t>make reference</w:t>
            </w:r>
            <w:proofErr w:type="gramEnd"/>
            <w:r w:rsidRPr="00157EBD">
              <w:t xml:space="preserve"> to the guidance in our standing advice if relevant.</w:t>
            </w:r>
          </w:p>
          <w:p w14:paraId="49797168" w14:textId="77777777" w:rsidR="00157EBD" w:rsidRPr="00157EBD" w:rsidRDefault="00157EBD" w:rsidP="00157EBD">
            <w:r w:rsidRPr="00157EBD">
              <w:t>We will not advise on whether we think any exceptions could be applicable.   </w:t>
            </w:r>
          </w:p>
          <w:p w14:paraId="0D7C36A7" w14:textId="53007B32" w:rsidR="007A2563" w:rsidRPr="004A3D75" w:rsidRDefault="007A2563" w:rsidP="007A2563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2709" w:rsidRPr="004A3D75" w14:paraId="5B0B86E6" w14:textId="77777777" w:rsidTr="00AF327E">
        <w:trPr>
          <w:trHeight w:val="300"/>
        </w:trPr>
        <w:tc>
          <w:tcPr>
            <w:tcW w:w="249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6620" w14:textId="4BB6CBA9" w:rsidR="002D5187" w:rsidRPr="004A3D75" w:rsidRDefault="00C8086C" w:rsidP="00BB2363">
            <w:pPr>
              <w:spacing w:before="24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It is unclear whether the site is at risk of flooding or in a flood risk area</w:t>
            </w:r>
            <w:r w:rsidR="00404144">
              <w:rPr>
                <w:rFonts w:ascii="Arial" w:eastAsia="Times New Roman" w:hAnsi="Arial" w:cs="Arial"/>
                <w:lang w:eastAsia="en-GB"/>
              </w:rPr>
              <w:t xml:space="preserve"> and the planning authority seeks SEPA advice on this matter</w:t>
            </w:r>
            <w:r w:rsidR="006D6CC8">
              <w:rPr>
                <w:rFonts w:ascii="Arial" w:eastAsia="Times New Roman" w:hAnsi="Arial" w:cs="Arial"/>
                <w:lang w:eastAsia="en-GB"/>
              </w:rPr>
              <w:t xml:space="preserve"> before advising which exception is applicable</w:t>
            </w:r>
            <w:r w:rsidR="0036193A">
              <w:rPr>
                <w:rFonts w:ascii="Arial" w:eastAsia="Times New Roman" w:hAnsi="Arial" w:cs="Arial"/>
                <w:lang w:eastAsia="en-GB"/>
              </w:rPr>
              <w:t>, for e</w:t>
            </w:r>
            <w:r w:rsidR="002D5187">
              <w:rPr>
                <w:rFonts w:ascii="Arial" w:eastAsia="Times New Roman" w:hAnsi="Arial" w:cs="Arial"/>
                <w:lang w:eastAsia="en-GB"/>
              </w:rPr>
              <w:t>xample</w:t>
            </w:r>
            <w:r w:rsidR="00F80260">
              <w:rPr>
                <w:rFonts w:ascii="Arial" w:eastAsia="Times New Roman" w:hAnsi="Arial" w:cs="Arial"/>
                <w:lang w:eastAsia="en-GB"/>
              </w:rPr>
              <w:t>,</w:t>
            </w:r>
            <w:r w:rsidR="002D518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36193A">
              <w:rPr>
                <w:rFonts w:ascii="Arial" w:eastAsia="Times New Roman" w:hAnsi="Arial" w:cs="Arial"/>
                <w:lang w:eastAsia="en-GB"/>
              </w:rPr>
              <w:t xml:space="preserve">at </w:t>
            </w:r>
            <w:r w:rsidR="00CE1794">
              <w:rPr>
                <w:rFonts w:ascii="Arial" w:eastAsia="Times New Roman" w:hAnsi="Arial" w:cs="Arial"/>
                <w:lang w:eastAsia="en-GB"/>
              </w:rPr>
              <w:t xml:space="preserve">pre app </w:t>
            </w:r>
            <w:r w:rsidR="0036193A">
              <w:rPr>
                <w:rFonts w:ascii="Arial" w:eastAsia="Times New Roman" w:hAnsi="Arial" w:cs="Arial"/>
                <w:lang w:eastAsia="en-GB"/>
              </w:rPr>
              <w:t xml:space="preserve">stage </w:t>
            </w:r>
            <w:r w:rsidR="00CE1794">
              <w:rPr>
                <w:rFonts w:ascii="Arial" w:eastAsia="Times New Roman" w:hAnsi="Arial" w:cs="Arial"/>
                <w:lang w:eastAsia="en-GB"/>
              </w:rPr>
              <w:t xml:space="preserve">where the </w:t>
            </w:r>
            <w:r w:rsidR="006635D7">
              <w:rPr>
                <w:rFonts w:ascii="Arial" w:eastAsia="Times New Roman" w:hAnsi="Arial" w:cs="Arial"/>
                <w:lang w:eastAsia="en-GB"/>
              </w:rPr>
              <w:t xml:space="preserve">specific uses or </w:t>
            </w:r>
            <w:r w:rsidR="00CE1794">
              <w:rPr>
                <w:rFonts w:ascii="Arial" w:eastAsia="Times New Roman" w:hAnsi="Arial" w:cs="Arial"/>
                <w:lang w:eastAsia="en-GB"/>
              </w:rPr>
              <w:t>site layout</w:t>
            </w:r>
            <w:r w:rsidR="00F80260">
              <w:rPr>
                <w:rFonts w:ascii="Arial" w:eastAsia="Times New Roman" w:hAnsi="Arial" w:cs="Arial"/>
                <w:lang w:eastAsia="en-GB"/>
              </w:rPr>
              <w:t xml:space="preserve"> are yet to be </w:t>
            </w:r>
            <w:r w:rsidR="00E24DEA">
              <w:rPr>
                <w:rFonts w:ascii="Arial" w:eastAsia="Times New Roman" w:hAnsi="Arial" w:cs="Arial"/>
                <w:lang w:eastAsia="en-GB"/>
              </w:rPr>
              <w:t>defined.</w:t>
            </w:r>
          </w:p>
        </w:tc>
        <w:tc>
          <w:tcPr>
            <w:tcW w:w="25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1079" w14:textId="59EDAB8A" w:rsidR="007E229A" w:rsidRPr="007E229A" w:rsidRDefault="00C8086C" w:rsidP="00BB2363">
            <w:pPr>
              <w:pStyle w:val="pf0"/>
              <w:spacing w:before="240" w:beforeAutospacing="0" w:line="360" w:lineRule="auto"/>
              <w:rPr>
                <w:rFonts w:ascii="Arial" w:eastAsiaTheme="minorEastAsia" w:hAnsi="Arial" w:cs="Arial"/>
                <w:lang w:eastAsia="en-US"/>
              </w:rPr>
            </w:pPr>
            <w:r w:rsidRPr="007E229A">
              <w:rPr>
                <w:rFonts w:ascii="Arial" w:eastAsiaTheme="minorEastAsia" w:hAnsi="Arial" w:cs="Arial"/>
                <w:lang w:eastAsia="en-US"/>
              </w:rPr>
              <w:t xml:space="preserve">SEPA will </w:t>
            </w:r>
            <w:r w:rsidR="00EC51F6" w:rsidRPr="007E229A">
              <w:rPr>
                <w:rFonts w:ascii="Arial" w:eastAsiaTheme="minorEastAsia" w:hAnsi="Arial" w:cs="Arial"/>
                <w:lang w:eastAsia="en-US"/>
              </w:rPr>
              <w:t xml:space="preserve">provide </w:t>
            </w:r>
            <w:r w:rsidR="00A10C8E" w:rsidRPr="007E229A">
              <w:rPr>
                <w:rFonts w:ascii="Arial" w:eastAsiaTheme="minorEastAsia" w:hAnsi="Arial" w:cs="Arial"/>
                <w:lang w:eastAsia="en-US"/>
              </w:rPr>
              <w:t xml:space="preserve">any information we hold on flood risk to the site. </w:t>
            </w:r>
            <w:r w:rsidR="00DB7161" w:rsidRPr="007E229A">
              <w:rPr>
                <w:rFonts w:ascii="Arial" w:eastAsiaTheme="minorEastAsia" w:hAnsi="Arial" w:cs="Arial"/>
                <w:lang w:eastAsia="en-US"/>
              </w:rPr>
              <w:t>We will not advise on whether we think any exceptions could be applicable</w:t>
            </w:r>
            <w:r w:rsidR="00FC113C">
              <w:rPr>
                <w:rFonts w:ascii="Arial" w:eastAsiaTheme="minorEastAsia" w:hAnsi="Arial" w:cs="Arial"/>
                <w:lang w:eastAsia="en-US"/>
              </w:rPr>
              <w:t xml:space="preserve"> or provide a view on the propo</w:t>
            </w:r>
            <w:r w:rsidR="00E963C8">
              <w:rPr>
                <w:rFonts w:ascii="Arial" w:eastAsiaTheme="minorEastAsia" w:hAnsi="Arial" w:cs="Arial"/>
                <w:lang w:eastAsia="en-US"/>
              </w:rPr>
              <w:t>sal</w:t>
            </w:r>
            <w:r w:rsidR="00DE51F5">
              <w:rPr>
                <w:rFonts w:ascii="Arial" w:eastAsiaTheme="minorEastAsia" w:hAnsi="Arial" w:cs="Arial"/>
                <w:lang w:eastAsia="en-US"/>
              </w:rPr>
              <w:t xml:space="preserve">. </w:t>
            </w:r>
            <w:r w:rsidR="00DE51F5" w:rsidRPr="00713041">
              <w:rPr>
                <w:rFonts w:ascii="Arial" w:eastAsiaTheme="minorEastAsia" w:hAnsi="Arial" w:cs="Arial"/>
                <w:lang w:eastAsia="en-US"/>
              </w:rPr>
              <w:t xml:space="preserve">If the site is at risk, SEPA should be reconsulted once </w:t>
            </w:r>
            <w:r w:rsidR="00436F18" w:rsidRPr="00713041">
              <w:rPr>
                <w:rFonts w:ascii="Arial" w:eastAsiaTheme="minorEastAsia" w:hAnsi="Arial" w:cs="Arial"/>
                <w:lang w:eastAsia="en-US"/>
              </w:rPr>
              <w:t xml:space="preserve">the proposal details are known, </w:t>
            </w:r>
            <w:r w:rsidR="00FC113C" w:rsidRPr="00713041">
              <w:rPr>
                <w:rFonts w:ascii="Arial" w:eastAsiaTheme="minorEastAsia" w:hAnsi="Arial" w:cs="Arial"/>
                <w:lang w:eastAsia="en-US"/>
              </w:rPr>
              <w:t>including the exception status.</w:t>
            </w:r>
          </w:p>
          <w:p w14:paraId="7D6D0952" w14:textId="139AAF67" w:rsidR="005E2212" w:rsidRPr="004A3D75" w:rsidRDefault="005E2212" w:rsidP="002A31FE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bookmarkEnd w:id="0"/>
    </w:tbl>
    <w:p w14:paraId="4763973A" w14:textId="77777777" w:rsidR="00DD6E74" w:rsidRDefault="00DD6E74" w:rsidP="00722CF9">
      <w:pPr>
        <w:spacing w:line="240" w:lineRule="auto"/>
        <w:textAlignment w:val="baseline"/>
        <w:rPr>
          <w:b/>
          <w:bCs/>
        </w:rPr>
      </w:pPr>
    </w:p>
    <w:p w14:paraId="40B67B44" w14:textId="77777777" w:rsidR="008C6534" w:rsidRDefault="008C6534" w:rsidP="008C6534">
      <w:pPr>
        <w:pStyle w:val="pf0"/>
        <w:rPr>
          <w:rFonts w:ascii="Arial" w:hAnsi="Arial" w:cs="Arial"/>
          <w:sz w:val="20"/>
          <w:szCs w:val="20"/>
        </w:rPr>
      </w:pPr>
    </w:p>
    <w:p w14:paraId="163F8989" w14:textId="1E7C7129" w:rsidR="006243FF" w:rsidRPr="00650C56" w:rsidRDefault="00650C56" w:rsidP="00D16893">
      <w:pPr>
        <w:pStyle w:val="BodyText1"/>
        <w:rPr>
          <w:rFonts w:eastAsia="Times New Roman"/>
          <w:sz w:val="32"/>
          <w:szCs w:val="32"/>
        </w:rPr>
      </w:pPr>
      <w:r w:rsidRPr="007777DA">
        <w:rPr>
          <w:rFonts w:eastAsia="Times New Roman"/>
          <w:sz w:val="32"/>
          <w:szCs w:val="32"/>
        </w:rPr>
        <w:t>If you would like this document in an accessible format, such as large print, audio recording or braille, please contact SEPA by emailing </w:t>
      </w:r>
      <w:hyperlink r:id="rId15" w:tgtFrame="_blank" w:tooltip="mailto:equalities@sepa.org.uk" w:history="1">
        <w:r w:rsidRPr="007777DA">
          <w:rPr>
            <w:rFonts w:eastAsia="Times New Roman"/>
            <w:color w:val="016574" w:themeColor="hyperlink"/>
            <w:sz w:val="32"/>
            <w:szCs w:val="32"/>
            <w:u w:val="single"/>
          </w:rPr>
          <w:t>equalities@sepa.org.uk</w:t>
        </w:r>
      </w:hyperlink>
      <w:r w:rsidRPr="007777DA">
        <w:rPr>
          <w:rFonts w:eastAsia="Times New Roman"/>
          <w:sz w:val="32"/>
          <w:szCs w:val="32"/>
        </w:rPr>
        <w:t xml:space="preserve"> </w:t>
      </w:r>
    </w:p>
    <w:sectPr w:rsidR="006243FF" w:rsidRPr="00650C56" w:rsidSect="0024680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1075" w14:textId="77777777" w:rsidR="005B2A1E" w:rsidRDefault="005B2A1E" w:rsidP="00660C79">
      <w:pPr>
        <w:spacing w:line="240" w:lineRule="auto"/>
      </w:pPr>
      <w:r>
        <w:separator/>
      </w:r>
    </w:p>
  </w:endnote>
  <w:endnote w:type="continuationSeparator" w:id="0">
    <w:p w14:paraId="26F97977" w14:textId="77777777" w:rsidR="005B2A1E" w:rsidRDefault="005B2A1E" w:rsidP="00660C79">
      <w:pPr>
        <w:spacing w:line="240" w:lineRule="auto"/>
      </w:pPr>
      <w:r>
        <w:continuationSeparator/>
      </w:r>
    </w:p>
  </w:endnote>
  <w:endnote w:type="continuationNotice" w:id="1">
    <w:p w14:paraId="0E6A85FF" w14:textId="77777777" w:rsidR="005B2A1E" w:rsidRDefault="005B2A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834F" w14:textId="552954DB" w:rsidR="00EC6A73" w:rsidRDefault="001F53F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11" behindDoc="0" locked="0" layoutInCell="1" allowOverlap="1" wp14:anchorId="2DA93698" wp14:editId="32CE8E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308092057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AC777" w14:textId="7D32EC0E" w:rsidR="001F53F1" w:rsidRPr="001F53F1" w:rsidRDefault="001F53F1" w:rsidP="001F53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F53F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9369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OFFICIAL" style="position:absolute;margin-left:0;margin-top:0;width:36.2pt;height:33.3pt;z-index:25166951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" filled="f" stroked="f">
              <v:textbox style="mso-fit-shape-to-text:t" inset="0,0,0,15pt">
                <w:txbxContent>
                  <w:p w14:paraId="4D2AC777" w14:textId="7D32EC0E" w:rsidR="001F53F1" w:rsidRPr="001F53F1" w:rsidRDefault="001F53F1" w:rsidP="001F53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F53F1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CA351A" w14:textId="77777777" w:rsidR="00EC6A73" w:rsidRDefault="00EC6A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642A9F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C3D920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4798" w14:textId="7B941DB4" w:rsidR="00EC6A73" w:rsidRDefault="001F53F1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0535" behindDoc="0" locked="0" layoutInCell="1" allowOverlap="1" wp14:anchorId="7C446F7C" wp14:editId="7109C2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1800402010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DD42D" w14:textId="43D184BC" w:rsidR="001F53F1" w:rsidRPr="001F53F1" w:rsidRDefault="001F53F1" w:rsidP="001F53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F53F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46F7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alt="OFFICIAL" style="position:absolute;margin-left:0;margin-top:0;width:36.2pt;height:33.3pt;z-index:25167053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" filled="f" stroked="f">
              <v:textbox style="mso-fit-shape-to-text:t" inset="0,0,0,15pt">
                <w:txbxContent>
                  <w:p w14:paraId="0B4DD42D" w14:textId="43D184BC" w:rsidR="001F53F1" w:rsidRPr="001F53F1" w:rsidRDefault="001F53F1" w:rsidP="001F53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F53F1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EB13CC8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D1B024" wp14:editId="315F19DD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934088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757EB9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8B76A5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28700363" wp14:editId="6C3EA71B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2440" w14:textId="2CECA676" w:rsidR="006551A9" w:rsidRDefault="001F53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7" behindDoc="0" locked="0" layoutInCell="1" allowOverlap="1" wp14:anchorId="0DBAD835" wp14:editId="2D879C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2910"/>
              <wp:effectExtent l="0" t="0" r="16510" b="0"/>
              <wp:wrapNone/>
              <wp:docPr id="1050693147" name="Text Box 1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607CC" w14:textId="47B61931" w:rsidR="001F53F1" w:rsidRPr="001F53F1" w:rsidRDefault="001F53F1" w:rsidP="001F53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F53F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AD83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alt="OFFICIAL" style="position:absolute;margin-left:0;margin-top:0;width:36.2pt;height:33.3pt;z-index:2516684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" filled="f" stroked="f">
              <v:textbox style="mso-fit-shape-to-text:t" inset="0,0,0,15pt">
                <w:txbxContent>
                  <w:p w14:paraId="659607CC" w14:textId="47B61931" w:rsidR="001F53F1" w:rsidRPr="001F53F1" w:rsidRDefault="001F53F1" w:rsidP="001F53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F53F1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18C5" w14:textId="77777777" w:rsidR="005B2A1E" w:rsidRDefault="005B2A1E" w:rsidP="00660C79">
      <w:pPr>
        <w:spacing w:line="240" w:lineRule="auto"/>
      </w:pPr>
      <w:r>
        <w:separator/>
      </w:r>
    </w:p>
  </w:footnote>
  <w:footnote w:type="continuationSeparator" w:id="0">
    <w:p w14:paraId="54952109" w14:textId="77777777" w:rsidR="005B2A1E" w:rsidRDefault="005B2A1E" w:rsidP="00660C79">
      <w:pPr>
        <w:spacing w:line="240" w:lineRule="auto"/>
      </w:pPr>
      <w:r>
        <w:continuationSeparator/>
      </w:r>
    </w:p>
  </w:footnote>
  <w:footnote w:type="continuationNotice" w:id="1">
    <w:p w14:paraId="2B9B9B38" w14:textId="77777777" w:rsidR="005B2A1E" w:rsidRDefault="005B2A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39E5" w14:textId="1859881F" w:rsidR="006551A9" w:rsidRDefault="001F53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9" behindDoc="0" locked="0" layoutInCell="1" allowOverlap="1" wp14:anchorId="3DC7D02C" wp14:editId="447A26A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1823751523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29FC0" w14:textId="78D7310F" w:rsidR="001F53F1" w:rsidRPr="001F53F1" w:rsidRDefault="001F53F1" w:rsidP="001F53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F53F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7D02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alt="OFFICIAL" style="position:absolute;margin-left:0;margin-top:0;width:36.2pt;height:33.3pt;z-index:25166643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" filled="f" stroked="f">
              <v:textbox style="mso-fit-shape-to-text:t" inset="0,15pt,0,0">
                <w:txbxContent>
                  <w:p w14:paraId="0BA29FC0" w14:textId="78D7310F" w:rsidR="001F53F1" w:rsidRPr="001F53F1" w:rsidRDefault="001F53F1" w:rsidP="001F53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F53F1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9BB6" w14:textId="0C67C71D" w:rsidR="008D113C" w:rsidRPr="00917BB1" w:rsidRDefault="001F53F1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7463" behindDoc="0" locked="0" layoutInCell="1" allowOverlap="1" wp14:anchorId="044E4EB3" wp14:editId="6D6E00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1220811379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92B5E" w14:textId="0D118028" w:rsidR="001F53F1" w:rsidRPr="001F53F1" w:rsidRDefault="001F53F1" w:rsidP="001F53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F53F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E4EB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alt="OFFICIAL" style="position:absolute;left:0;text-align:left;margin-left:0;margin-top:0;width:36.2pt;height:33.3pt;z-index:2516674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" filled="f" stroked="f">
              <v:textbox style="mso-fit-shape-to-text:t" inset="0,15pt,0,0">
                <w:txbxContent>
                  <w:p w14:paraId="37492B5E" w14:textId="0D118028" w:rsidR="001F53F1" w:rsidRPr="001F53F1" w:rsidRDefault="001F53F1" w:rsidP="001F53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F53F1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904E5">
      <w:rPr>
        <w:color w:val="6E7571" w:themeColor="text2"/>
      </w:rPr>
      <w:t xml:space="preserve">Statement on </w:t>
    </w:r>
    <w:r w:rsidR="00280D1E">
      <w:rPr>
        <w:color w:val="6E7571" w:themeColor="text2"/>
      </w:rPr>
      <w:t xml:space="preserve">SEPA </w:t>
    </w:r>
    <w:r w:rsidR="00E54B9F">
      <w:rPr>
        <w:color w:val="6E7571" w:themeColor="text2"/>
      </w:rPr>
      <w:t>a</w:t>
    </w:r>
    <w:r w:rsidR="00280D1E">
      <w:rPr>
        <w:color w:val="6E7571" w:themeColor="text2"/>
      </w:rPr>
      <w:t>pproach to National Planning Framework 4 P</w:t>
    </w:r>
    <w:r w:rsidR="006E44C7">
      <w:rPr>
        <w:color w:val="6E7571" w:themeColor="text2"/>
      </w:rPr>
      <w:t xml:space="preserve">olicy 22 </w:t>
    </w:r>
    <w:r w:rsidR="00E54B9F">
      <w:rPr>
        <w:color w:val="6E7571" w:themeColor="text2"/>
      </w:rPr>
      <w:t>e</w:t>
    </w:r>
    <w:r w:rsidR="006E44C7">
      <w:rPr>
        <w:color w:val="6E7571" w:themeColor="text2"/>
      </w:rPr>
      <w:t>xceptions</w:t>
    </w:r>
  </w:p>
  <w:p w14:paraId="43A8856F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6DE230" wp14:editId="5E8B2427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2740EE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B61C" w14:textId="0FFCDD1A" w:rsidR="006551A9" w:rsidRDefault="001F53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5" behindDoc="0" locked="0" layoutInCell="1" allowOverlap="1" wp14:anchorId="72BAF1BA" wp14:editId="232664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2910"/>
              <wp:effectExtent l="0" t="0" r="16510" b="15240"/>
              <wp:wrapNone/>
              <wp:docPr id="1327974672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8722C" w14:textId="11C0FFDE" w:rsidR="001F53F1" w:rsidRPr="001F53F1" w:rsidRDefault="001F53F1" w:rsidP="001F53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F53F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AF1B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alt="OFFICIAL" style="position:absolute;margin-left:0;margin-top:0;width:36.2pt;height:33.3pt;z-index:25166541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" filled="f" stroked="f">
              <v:textbox style="mso-fit-shape-to-text:t" inset="0,15pt,0,0">
                <w:txbxContent>
                  <w:p w14:paraId="7278722C" w14:textId="11C0FFDE" w:rsidR="001F53F1" w:rsidRPr="001F53F1" w:rsidRDefault="001F53F1" w:rsidP="001F53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F53F1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12336"/>
    <w:multiLevelType w:val="hybridMultilevel"/>
    <w:tmpl w:val="2200C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106B3"/>
    <w:multiLevelType w:val="hybridMultilevel"/>
    <w:tmpl w:val="BC1E6C8E"/>
    <w:lvl w:ilvl="0" w:tplc="E2DC8DC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77384"/>
    <w:multiLevelType w:val="hybridMultilevel"/>
    <w:tmpl w:val="2D98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861B6"/>
    <w:multiLevelType w:val="hybridMultilevel"/>
    <w:tmpl w:val="F0E66F2A"/>
    <w:lvl w:ilvl="0" w:tplc="391A171C">
      <w:start w:val="1"/>
      <w:numFmt w:val="bullet"/>
      <w:lvlText w:val="-"/>
      <w:lvlJc w:val="left"/>
      <w:pPr>
        <w:ind w:left="91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4" w15:restartNumberingAfterBreak="0">
    <w:nsid w:val="316E015F"/>
    <w:multiLevelType w:val="hybridMultilevel"/>
    <w:tmpl w:val="F416A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F40F0"/>
    <w:multiLevelType w:val="hybridMultilevel"/>
    <w:tmpl w:val="EF66D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93249"/>
    <w:multiLevelType w:val="hybridMultilevel"/>
    <w:tmpl w:val="7AC8D6C0"/>
    <w:lvl w:ilvl="0" w:tplc="2C040F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A7CBF"/>
    <w:multiLevelType w:val="hybridMultilevel"/>
    <w:tmpl w:val="BA2009B8"/>
    <w:lvl w:ilvl="0" w:tplc="284C76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C17DD"/>
    <w:multiLevelType w:val="hybridMultilevel"/>
    <w:tmpl w:val="704476D2"/>
    <w:lvl w:ilvl="0" w:tplc="C1C2D2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49557649">
    <w:abstractNumId w:val="17"/>
  </w:num>
  <w:num w:numId="12" w16cid:durableId="1970814175">
    <w:abstractNumId w:val="10"/>
  </w:num>
  <w:num w:numId="13" w16cid:durableId="1677540172">
    <w:abstractNumId w:val="16"/>
  </w:num>
  <w:num w:numId="14" w16cid:durableId="119495742">
    <w:abstractNumId w:val="15"/>
  </w:num>
  <w:num w:numId="15" w16cid:durableId="1909077392">
    <w:abstractNumId w:val="12"/>
  </w:num>
  <w:num w:numId="16" w16cid:durableId="990789508">
    <w:abstractNumId w:val="14"/>
  </w:num>
  <w:num w:numId="17" w16cid:durableId="233784855">
    <w:abstractNumId w:val="18"/>
  </w:num>
  <w:num w:numId="18" w16cid:durableId="1310475692">
    <w:abstractNumId w:val="13"/>
  </w:num>
  <w:num w:numId="19" w16cid:durableId="1767728603">
    <w:abstractNumId w:val="19"/>
  </w:num>
  <w:num w:numId="20" w16cid:durableId="321281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59"/>
    <w:rsid w:val="00001E0C"/>
    <w:rsid w:val="000055DA"/>
    <w:rsid w:val="00006B99"/>
    <w:rsid w:val="000100CC"/>
    <w:rsid w:val="00014F33"/>
    <w:rsid w:val="00016E9F"/>
    <w:rsid w:val="000219B4"/>
    <w:rsid w:val="00022FB3"/>
    <w:rsid w:val="00031C5F"/>
    <w:rsid w:val="00032829"/>
    <w:rsid w:val="00040561"/>
    <w:rsid w:val="00041F50"/>
    <w:rsid w:val="00045003"/>
    <w:rsid w:val="0005132B"/>
    <w:rsid w:val="00052C3C"/>
    <w:rsid w:val="00055008"/>
    <w:rsid w:val="0005595E"/>
    <w:rsid w:val="000563F1"/>
    <w:rsid w:val="0005731E"/>
    <w:rsid w:val="00057A8E"/>
    <w:rsid w:val="00063435"/>
    <w:rsid w:val="0007020F"/>
    <w:rsid w:val="00070937"/>
    <w:rsid w:val="00075F8B"/>
    <w:rsid w:val="00082098"/>
    <w:rsid w:val="000825F0"/>
    <w:rsid w:val="00083BFC"/>
    <w:rsid w:val="000852E7"/>
    <w:rsid w:val="000853D1"/>
    <w:rsid w:val="00091657"/>
    <w:rsid w:val="000957AE"/>
    <w:rsid w:val="000A2B07"/>
    <w:rsid w:val="000A3EA1"/>
    <w:rsid w:val="000A52B3"/>
    <w:rsid w:val="000A5391"/>
    <w:rsid w:val="000A540D"/>
    <w:rsid w:val="000A60E5"/>
    <w:rsid w:val="000B166A"/>
    <w:rsid w:val="000B1B23"/>
    <w:rsid w:val="000B1BB5"/>
    <w:rsid w:val="000B2BA5"/>
    <w:rsid w:val="000B5A58"/>
    <w:rsid w:val="000B7559"/>
    <w:rsid w:val="000C2EDE"/>
    <w:rsid w:val="000D05D9"/>
    <w:rsid w:val="000D1A07"/>
    <w:rsid w:val="000D6C6E"/>
    <w:rsid w:val="000E0D15"/>
    <w:rsid w:val="000E1C02"/>
    <w:rsid w:val="000E3701"/>
    <w:rsid w:val="000E43A7"/>
    <w:rsid w:val="00101097"/>
    <w:rsid w:val="00102763"/>
    <w:rsid w:val="0010361E"/>
    <w:rsid w:val="001053ED"/>
    <w:rsid w:val="00105F31"/>
    <w:rsid w:val="0011227C"/>
    <w:rsid w:val="00123FE3"/>
    <w:rsid w:val="00127FD1"/>
    <w:rsid w:val="001307EA"/>
    <w:rsid w:val="00136899"/>
    <w:rsid w:val="00137FD3"/>
    <w:rsid w:val="00143654"/>
    <w:rsid w:val="00144984"/>
    <w:rsid w:val="001472FC"/>
    <w:rsid w:val="001500F1"/>
    <w:rsid w:val="00150DDD"/>
    <w:rsid w:val="00151C10"/>
    <w:rsid w:val="00156D45"/>
    <w:rsid w:val="00157EBD"/>
    <w:rsid w:val="001612DF"/>
    <w:rsid w:val="00161430"/>
    <w:rsid w:val="00164BCC"/>
    <w:rsid w:val="0017437F"/>
    <w:rsid w:val="001775C1"/>
    <w:rsid w:val="00177B78"/>
    <w:rsid w:val="00184181"/>
    <w:rsid w:val="0018437A"/>
    <w:rsid w:val="00187787"/>
    <w:rsid w:val="00192FBB"/>
    <w:rsid w:val="00193B39"/>
    <w:rsid w:val="00195893"/>
    <w:rsid w:val="001A2EE1"/>
    <w:rsid w:val="001A581B"/>
    <w:rsid w:val="001B12AC"/>
    <w:rsid w:val="001B27F9"/>
    <w:rsid w:val="001B4861"/>
    <w:rsid w:val="001B6E06"/>
    <w:rsid w:val="001C005C"/>
    <w:rsid w:val="001C0600"/>
    <w:rsid w:val="001C7DDE"/>
    <w:rsid w:val="001D2303"/>
    <w:rsid w:val="001D2993"/>
    <w:rsid w:val="001D4719"/>
    <w:rsid w:val="001D7604"/>
    <w:rsid w:val="001D7DF9"/>
    <w:rsid w:val="001E2216"/>
    <w:rsid w:val="001E54EF"/>
    <w:rsid w:val="001F1357"/>
    <w:rsid w:val="001F2C35"/>
    <w:rsid w:val="001F3B88"/>
    <w:rsid w:val="001F3E12"/>
    <w:rsid w:val="001F53F1"/>
    <w:rsid w:val="001F7AC7"/>
    <w:rsid w:val="00200449"/>
    <w:rsid w:val="0020177B"/>
    <w:rsid w:val="002038CB"/>
    <w:rsid w:val="00210184"/>
    <w:rsid w:val="0021305A"/>
    <w:rsid w:val="00215E8A"/>
    <w:rsid w:val="00217885"/>
    <w:rsid w:val="002208AA"/>
    <w:rsid w:val="002212C8"/>
    <w:rsid w:val="0022148A"/>
    <w:rsid w:val="002254F9"/>
    <w:rsid w:val="002306E2"/>
    <w:rsid w:val="00232D74"/>
    <w:rsid w:val="00232FC2"/>
    <w:rsid w:val="00236552"/>
    <w:rsid w:val="00237543"/>
    <w:rsid w:val="0024680B"/>
    <w:rsid w:val="00247B81"/>
    <w:rsid w:val="00252F5A"/>
    <w:rsid w:val="00253857"/>
    <w:rsid w:val="0025590B"/>
    <w:rsid w:val="00264C47"/>
    <w:rsid w:val="002651D8"/>
    <w:rsid w:val="00271B92"/>
    <w:rsid w:val="00280D1E"/>
    <w:rsid w:val="00281BB1"/>
    <w:rsid w:val="00285716"/>
    <w:rsid w:val="002858A7"/>
    <w:rsid w:val="00290B1F"/>
    <w:rsid w:val="00292F4B"/>
    <w:rsid w:val="00293CEB"/>
    <w:rsid w:val="00293E46"/>
    <w:rsid w:val="00294FB0"/>
    <w:rsid w:val="00295CFA"/>
    <w:rsid w:val="00296082"/>
    <w:rsid w:val="00296570"/>
    <w:rsid w:val="002A1FC0"/>
    <w:rsid w:val="002A31FE"/>
    <w:rsid w:val="002A55B1"/>
    <w:rsid w:val="002A700E"/>
    <w:rsid w:val="002B0459"/>
    <w:rsid w:val="002C3F38"/>
    <w:rsid w:val="002C6DFC"/>
    <w:rsid w:val="002C7F64"/>
    <w:rsid w:val="002D2B7C"/>
    <w:rsid w:val="002D5187"/>
    <w:rsid w:val="002D623C"/>
    <w:rsid w:val="002E520B"/>
    <w:rsid w:val="002E6503"/>
    <w:rsid w:val="002F2CCC"/>
    <w:rsid w:val="0030096D"/>
    <w:rsid w:val="00301FB6"/>
    <w:rsid w:val="00302F0D"/>
    <w:rsid w:val="0030785C"/>
    <w:rsid w:val="00314AB5"/>
    <w:rsid w:val="00317618"/>
    <w:rsid w:val="00320941"/>
    <w:rsid w:val="00320B89"/>
    <w:rsid w:val="00321282"/>
    <w:rsid w:val="00324D87"/>
    <w:rsid w:val="0033452D"/>
    <w:rsid w:val="00347EF7"/>
    <w:rsid w:val="00360EDD"/>
    <w:rsid w:val="0036193A"/>
    <w:rsid w:val="00363BC9"/>
    <w:rsid w:val="00363D3B"/>
    <w:rsid w:val="00365596"/>
    <w:rsid w:val="00365FC9"/>
    <w:rsid w:val="00366A7A"/>
    <w:rsid w:val="00373776"/>
    <w:rsid w:val="00373968"/>
    <w:rsid w:val="00374515"/>
    <w:rsid w:val="00381894"/>
    <w:rsid w:val="00384D10"/>
    <w:rsid w:val="003919A2"/>
    <w:rsid w:val="003A3AEF"/>
    <w:rsid w:val="003A4435"/>
    <w:rsid w:val="003A73CE"/>
    <w:rsid w:val="003A772F"/>
    <w:rsid w:val="003B5211"/>
    <w:rsid w:val="003C23D6"/>
    <w:rsid w:val="003C2B2C"/>
    <w:rsid w:val="003C5B6F"/>
    <w:rsid w:val="003C5B9C"/>
    <w:rsid w:val="003C5C6F"/>
    <w:rsid w:val="003C6B2D"/>
    <w:rsid w:val="003D1164"/>
    <w:rsid w:val="003D3914"/>
    <w:rsid w:val="003D3F23"/>
    <w:rsid w:val="003D5802"/>
    <w:rsid w:val="003D5D1D"/>
    <w:rsid w:val="003D605A"/>
    <w:rsid w:val="003D61B8"/>
    <w:rsid w:val="003E3136"/>
    <w:rsid w:val="003E410F"/>
    <w:rsid w:val="003E4910"/>
    <w:rsid w:val="003E7071"/>
    <w:rsid w:val="003F3CD9"/>
    <w:rsid w:val="003F4CAD"/>
    <w:rsid w:val="003F5384"/>
    <w:rsid w:val="00402AC5"/>
    <w:rsid w:val="00402F8D"/>
    <w:rsid w:val="00404144"/>
    <w:rsid w:val="00406046"/>
    <w:rsid w:val="00406802"/>
    <w:rsid w:val="004073BC"/>
    <w:rsid w:val="00414DE8"/>
    <w:rsid w:val="00420CA5"/>
    <w:rsid w:val="00421D27"/>
    <w:rsid w:val="0042376D"/>
    <w:rsid w:val="00430795"/>
    <w:rsid w:val="00430F0D"/>
    <w:rsid w:val="00432FD4"/>
    <w:rsid w:val="004362EC"/>
    <w:rsid w:val="00436F18"/>
    <w:rsid w:val="004370E4"/>
    <w:rsid w:val="00442E25"/>
    <w:rsid w:val="004437D3"/>
    <w:rsid w:val="00444AA1"/>
    <w:rsid w:val="00445F69"/>
    <w:rsid w:val="00446312"/>
    <w:rsid w:val="004478A7"/>
    <w:rsid w:val="00447DE8"/>
    <w:rsid w:val="00450976"/>
    <w:rsid w:val="004509B6"/>
    <w:rsid w:val="00450B8A"/>
    <w:rsid w:val="00451CA4"/>
    <w:rsid w:val="00451E02"/>
    <w:rsid w:val="00455523"/>
    <w:rsid w:val="004574AE"/>
    <w:rsid w:val="00457AB5"/>
    <w:rsid w:val="0046511C"/>
    <w:rsid w:val="00466F9F"/>
    <w:rsid w:val="00472246"/>
    <w:rsid w:val="00473DD6"/>
    <w:rsid w:val="0047426F"/>
    <w:rsid w:val="00483832"/>
    <w:rsid w:val="004853BD"/>
    <w:rsid w:val="0048725B"/>
    <w:rsid w:val="004932AB"/>
    <w:rsid w:val="0049457D"/>
    <w:rsid w:val="00495DA1"/>
    <w:rsid w:val="00496D36"/>
    <w:rsid w:val="004972A9"/>
    <w:rsid w:val="004A26FF"/>
    <w:rsid w:val="004A2FBF"/>
    <w:rsid w:val="004A3D75"/>
    <w:rsid w:val="004A4429"/>
    <w:rsid w:val="004A4A74"/>
    <w:rsid w:val="004A4A81"/>
    <w:rsid w:val="004A5D9E"/>
    <w:rsid w:val="004A7ABF"/>
    <w:rsid w:val="004B3181"/>
    <w:rsid w:val="004B4BD1"/>
    <w:rsid w:val="004C1E0F"/>
    <w:rsid w:val="004C240A"/>
    <w:rsid w:val="004C3C10"/>
    <w:rsid w:val="004C5BA2"/>
    <w:rsid w:val="004C5F45"/>
    <w:rsid w:val="004C65F5"/>
    <w:rsid w:val="004D2BB3"/>
    <w:rsid w:val="004D3F7E"/>
    <w:rsid w:val="004D4708"/>
    <w:rsid w:val="004D7837"/>
    <w:rsid w:val="004E19A1"/>
    <w:rsid w:val="004E3B01"/>
    <w:rsid w:val="004F1FD6"/>
    <w:rsid w:val="004F79CD"/>
    <w:rsid w:val="004F7D03"/>
    <w:rsid w:val="00500B64"/>
    <w:rsid w:val="00503409"/>
    <w:rsid w:val="0050501C"/>
    <w:rsid w:val="0050550C"/>
    <w:rsid w:val="00507B33"/>
    <w:rsid w:val="00512E93"/>
    <w:rsid w:val="00521FC4"/>
    <w:rsid w:val="005240FA"/>
    <w:rsid w:val="00526D46"/>
    <w:rsid w:val="0052794F"/>
    <w:rsid w:val="00532CBF"/>
    <w:rsid w:val="00533FFB"/>
    <w:rsid w:val="0053536D"/>
    <w:rsid w:val="00535E52"/>
    <w:rsid w:val="005377B8"/>
    <w:rsid w:val="005407B9"/>
    <w:rsid w:val="005435FD"/>
    <w:rsid w:val="00545756"/>
    <w:rsid w:val="00551746"/>
    <w:rsid w:val="00551989"/>
    <w:rsid w:val="00554245"/>
    <w:rsid w:val="0055507F"/>
    <w:rsid w:val="005567EB"/>
    <w:rsid w:val="00561CF0"/>
    <w:rsid w:val="00564154"/>
    <w:rsid w:val="00566C2F"/>
    <w:rsid w:val="00574FBD"/>
    <w:rsid w:val="0058043E"/>
    <w:rsid w:val="00580622"/>
    <w:rsid w:val="00580E74"/>
    <w:rsid w:val="005920A5"/>
    <w:rsid w:val="00596194"/>
    <w:rsid w:val="00596E8A"/>
    <w:rsid w:val="005A1042"/>
    <w:rsid w:val="005A1123"/>
    <w:rsid w:val="005A11D8"/>
    <w:rsid w:val="005A355E"/>
    <w:rsid w:val="005A6F42"/>
    <w:rsid w:val="005A7619"/>
    <w:rsid w:val="005B1BF1"/>
    <w:rsid w:val="005B2A1E"/>
    <w:rsid w:val="005B4250"/>
    <w:rsid w:val="005B4441"/>
    <w:rsid w:val="005B58A8"/>
    <w:rsid w:val="005C1F6C"/>
    <w:rsid w:val="005C339C"/>
    <w:rsid w:val="005C5B97"/>
    <w:rsid w:val="005C6C86"/>
    <w:rsid w:val="005C7883"/>
    <w:rsid w:val="005C7B62"/>
    <w:rsid w:val="005D1213"/>
    <w:rsid w:val="005D25F5"/>
    <w:rsid w:val="005E2212"/>
    <w:rsid w:val="005E37F4"/>
    <w:rsid w:val="005E48FA"/>
    <w:rsid w:val="005F22F1"/>
    <w:rsid w:val="005F423C"/>
    <w:rsid w:val="005F5DF8"/>
    <w:rsid w:val="005F6A93"/>
    <w:rsid w:val="00616EB9"/>
    <w:rsid w:val="006219DF"/>
    <w:rsid w:val="00624283"/>
    <w:rsid w:val="006243FF"/>
    <w:rsid w:val="00624C19"/>
    <w:rsid w:val="0062569E"/>
    <w:rsid w:val="00631FBD"/>
    <w:rsid w:val="00634B02"/>
    <w:rsid w:val="00641CBE"/>
    <w:rsid w:val="0064243E"/>
    <w:rsid w:val="00643AA7"/>
    <w:rsid w:val="00650C56"/>
    <w:rsid w:val="00653068"/>
    <w:rsid w:val="006532A9"/>
    <w:rsid w:val="006551A9"/>
    <w:rsid w:val="0066093A"/>
    <w:rsid w:val="00660C79"/>
    <w:rsid w:val="006635D7"/>
    <w:rsid w:val="0066432B"/>
    <w:rsid w:val="00666071"/>
    <w:rsid w:val="00666488"/>
    <w:rsid w:val="00667251"/>
    <w:rsid w:val="00670630"/>
    <w:rsid w:val="0067466E"/>
    <w:rsid w:val="00676386"/>
    <w:rsid w:val="00676592"/>
    <w:rsid w:val="00680B5D"/>
    <w:rsid w:val="006841C6"/>
    <w:rsid w:val="00684362"/>
    <w:rsid w:val="006A78FE"/>
    <w:rsid w:val="006B03C5"/>
    <w:rsid w:val="006B1FDB"/>
    <w:rsid w:val="006B5508"/>
    <w:rsid w:val="006B59C7"/>
    <w:rsid w:val="006C0740"/>
    <w:rsid w:val="006C4668"/>
    <w:rsid w:val="006C7B09"/>
    <w:rsid w:val="006D16CE"/>
    <w:rsid w:val="006D6CC8"/>
    <w:rsid w:val="006E26C1"/>
    <w:rsid w:val="006E3757"/>
    <w:rsid w:val="006E44C7"/>
    <w:rsid w:val="006E6A9D"/>
    <w:rsid w:val="006E6DDC"/>
    <w:rsid w:val="006F13FD"/>
    <w:rsid w:val="006F2042"/>
    <w:rsid w:val="006F30F0"/>
    <w:rsid w:val="006F345E"/>
    <w:rsid w:val="006F57FF"/>
    <w:rsid w:val="006F630B"/>
    <w:rsid w:val="006F7D55"/>
    <w:rsid w:val="00711C42"/>
    <w:rsid w:val="00713041"/>
    <w:rsid w:val="0071535F"/>
    <w:rsid w:val="007163F4"/>
    <w:rsid w:val="00722CF9"/>
    <w:rsid w:val="00723F87"/>
    <w:rsid w:val="00724859"/>
    <w:rsid w:val="00727F0E"/>
    <w:rsid w:val="007317AE"/>
    <w:rsid w:val="00740864"/>
    <w:rsid w:val="00742026"/>
    <w:rsid w:val="00742BC8"/>
    <w:rsid w:val="00744AF2"/>
    <w:rsid w:val="00757212"/>
    <w:rsid w:val="00761D8A"/>
    <w:rsid w:val="00762709"/>
    <w:rsid w:val="00762714"/>
    <w:rsid w:val="00764103"/>
    <w:rsid w:val="00770C3D"/>
    <w:rsid w:val="0077660D"/>
    <w:rsid w:val="0077705A"/>
    <w:rsid w:val="00793607"/>
    <w:rsid w:val="007944CB"/>
    <w:rsid w:val="00797765"/>
    <w:rsid w:val="007A2563"/>
    <w:rsid w:val="007B483F"/>
    <w:rsid w:val="007B5944"/>
    <w:rsid w:val="007B5ECE"/>
    <w:rsid w:val="007B5F52"/>
    <w:rsid w:val="007B7256"/>
    <w:rsid w:val="007C3F12"/>
    <w:rsid w:val="007C674C"/>
    <w:rsid w:val="007D26DE"/>
    <w:rsid w:val="007D3A58"/>
    <w:rsid w:val="007D441B"/>
    <w:rsid w:val="007D6A71"/>
    <w:rsid w:val="007D6E88"/>
    <w:rsid w:val="007D7C1D"/>
    <w:rsid w:val="007D7EFE"/>
    <w:rsid w:val="007E0ACC"/>
    <w:rsid w:val="007E229A"/>
    <w:rsid w:val="007E681F"/>
    <w:rsid w:val="007E690E"/>
    <w:rsid w:val="007F0305"/>
    <w:rsid w:val="00801105"/>
    <w:rsid w:val="008023F0"/>
    <w:rsid w:val="0080248F"/>
    <w:rsid w:val="008025D1"/>
    <w:rsid w:val="00810CFE"/>
    <w:rsid w:val="008113AC"/>
    <w:rsid w:val="0081288C"/>
    <w:rsid w:val="00816851"/>
    <w:rsid w:val="00820345"/>
    <w:rsid w:val="00821C02"/>
    <w:rsid w:val="00822C0D"/>
    <w:rsid w:val="00825844"/>
    <w:rsid w:val="00827A63"/>
    <w:rsid w:val="00830ADF"/>
    <w:rsid w:val="00830D9C"/>
    <w:rsid w:val="00840B15"/>
    <w:rsid w:val="0084261E"/>
    <w:rsid w:val="00844734"/>
    <w:rsid w:val="008451CE"/>
    <w:rsid w:val="00845961"/>
    <w:rsid w:val="008512C4"/>
    <w:rsid w:val="00854351"/>
    <w:rsid w:val="00856F7A"/>
    <w:rsid w:val="00861B46"/>
    <w:rsid w:val="008620C5"/>
    <w:rsid w:val="008654FE"/>
    <w:rsid w:val="00891D02"/>
    <w:rsid w:val="00895197"/>
    <w:rsid w:val="00897E36"/>
    <w:rsid w:val="008A16E1"/>
    <w:rsid w:val="008B18C5"/>
    <w:rsid w:val="008B48DB"/>
    <w:rsid w:val="008B4912"/>
    <w:rsid w:val="008B60C1"/>
    <w:rsid w:val="008C1A73"/>
    <w:rsid w:val="008C5C81"/>
    <w:rsid w:val="008C6534"/>
    <w:rsid w:val="008C729F"/>
    <w:rsid w:val="008D113C"/>
    <w:rsid w:val="008D1C29"/>
    <w:rsid w:val="008D21A4"/>
    <w:rsid w:val="008D376F"/>
    <w:rsid w:val="008D3E64"/>
    <w:rsid w:val="008D7803"/>
    <w:rsid w:val="008E37C3"/>
    <w:rsid w:val="008E73A9"/>
    <w:rsid w:val="008E79E9"/>
    <w:rsid w:val="008E7A8B"/>
    <w:rsid w:val="008F1C0A"/>
    <w:rsid w:val="008F39B3"/>
    <w:rsid w:val="008F59AB"/>
    <w:rsid w:val="008F7487"/>
    <w:rsid w:val="00903201"/>
    <w:rsid w:val="00904DD4"/>
    <w:rsid w:val="009057E5"/>
    <w:rsid w:val="009062BE"/>
    <w:rsid w:val="009073DE"/>
    <w:rsid w:val="00911319"/>
    <w:rsid w:val="0091372D"/>
    <w:rsid w:val="009145DE"/>
    <w:rsid w:val="00914723"/>
    <w:rsid w:val="00917BB1"/>
    <w:rsid w:val="00921882"/>
    <w:rsid w:val="00922E16"/>
    <w:rsid w:val="00927DC6"/>
    <w:rsid w:val="009347FA"/>
    <w:rsid w:val="009349B8"/>
    <w:rsid w:val="00935A8A"/>
    <w:rsid w:val="0094360D"/>
    <w:rsid w:val="009557B9"/>
    <w:rsid w:val="00956DEE"/>
    <w:rsid w:val="009571C8"/>
    <w:rsid w:val="0095751F"/>
    <w:rsid w:val="009579C0"/>
    <w:rsid w:val="009640A0"/>
    <w:rsid w:val="009708D9"/>
    <w:rsid w:val="0097274F"/>
    <w:rsid w:val="0097549C"/>
    <w:rsid w:val="00975D21"/>
    <w:rsid w:val="00980531"/>
    <w:rsid w:val="00980D97"/>
    <w:rsid w:val="00981F0E"/>
    <w:rsid w:val="009836CA"/>
    <w:rsid w:val="009862B7"/>
    <w:rsid w:val="0098788B"/>
    <w:rsid w:val="00993CCD"/>
    <w:rsid w:val="00995E64"/>
    <w:rsid w:val="009A240D"/>
    <w:rsid w:val="009A446B"/>
    <w:rsid w:val="009A4573"/>
    <w:rsid w:val="009A463E"/>
    <w:rsid w:val="009A4E7C"/>
    <w:rsid w:val="009A654C"/>
    <w:rsid w:val="009B00C4"/>
    <w:rsid w:val="009B21BA"/>
    <w:rsid w:val="009C0356"/>
    <w:rsid w:val="009C1036"/>
    <w:rsid w:val="009C3189"/>
    <w:rsid w:val="009C4190"/>
    <w:rsid w:val="009C6969"/>
    <w:rsid w:val="009D12A1"/>
    <w:rsid w:val="009D30CC"/>
    <w:rsid w:val="009E3D1D"/>
    <w:rsid w:val="009E6409"/>
    <w:rsid w:val="009E662A"/>
    <w:rsid w:val="009F25F7"/>
    <w:rsid w:val="009F2B5B"/>
    <w:rsid w:val="009F36FE"/>
    <w:rsid w:val="009F48B6"/>
    <w:rsid w:val="00A00049"/>
    <w:rsid w:val="00A00835"/>
    <w:rsid w:val="00A00B0E"/>
    <w:rsid w:val="00A00BEF"/>
    <w:rsid w:val="00A029C9"/>
    <w:rsid w:val="00A035B4"/>
    <w:rsid w:val="00A04308"/>
    <w:rsid w:val="00A10C8E"/>
    <w:rsid w:val="00A11E2E"/>
    <w:rsid w:val="00A22DFD"/>
    <w:rsid w:val="00A24E03"/>
    <w:rsid w:val="00A26975"/>
    <w:rsid w:val="00A3239A"/>
    <w:rsid w:val="00A32F6D"/>
    <w:rsid w:val="00A36814"/>
    <w:rsid w:val="00A4120A"/>
    <w:rsid w:val="00A4150B"/>
    <w:rsid w:val="00A425A9"/>
    <w:rsid w:val="00A4313C"/>
    <w:rsid w:val="00A53742"/>
    <w:rsid w:val="00A55168"/>
    <w:rsid w:val="00A55954"/>
    <w:rsid w:val="00A56489"/>
    <w:rsid w:val="00A724DE"/>
    <w:rsid w:val="00A75EFA"/>
    <w:rsid w:val="00A802EE"/>
    <w:rsid w:val="00A8106F"/>
    <w:rsid w:val="00A85562"/>
    <w:rsid w:val="00A92BF9"/>
    <w:rsid w:val="00A9349C"/>
    <w:rsid w:val="00AA063B"/>
    <w:rsid w:val="00AA1487"/>
    <w:rsid w:val="00AA6713"/>
    <w:rsid w:val="00AA705C"/>
    <w:rsid w:val="00AB7D44"/>
    <w:rsid w:val="00AC1C25"/>
    <w:rsid w:val="00AC3064"/>
    <w:rsid w:val="00AC397D"/>
    <w:rsid w:val="00AC7CF0"/>
    <w:rsid w:val="00AD62BE"/>
    <w:rsid w:val="00AD69EA"/>
    <w:rsid w:val="00AD6F60"/>
    <w:rsid w:val="00AD7B83"/>
    <w:rsid w:val="00AE068C"/>
    <w:rsid w:val="00AE3958"/>
    <w:rsid w:val="00AE7FA8"/>
    <w:rsid w:val="00AF0A3C"/>
    <w:rsid w:val="00AF105A"/>
    <w:rsid w:val="00AF327E"/>
    <w:rsid w:val="00AF5873"/>
    <w:rsid w:val="00B009DC"/>
    <w:rsid w:val="00B13176"/>
    <w:rsid w:val="00B156CA"/>
    <w:rsid w:val="00B165A9"/>
    <w:rsid w:val="00B21CB1"/>
    <w:rsid w:val="00B248E4"/>
    <w:rsid w:val="00B24BD6"/>
    <w:rsid w:val="00B33F12"/>
    <w:rsid w:val="00B36DE0"/>
    <w:rsid w:val="00B419DC"/>
    <w:rsid w:val="00B46AEF"/>
    <w:rsid w:val="00B46C2F"/>
    <w:rsid w:val="00B46E48"/>
    <w:rsid w:val="00B46FAA"/>
    <w:rsid w:val="00B5110E"/>
    <w:rsid w:val="00B54CF4"/>
    <w:rsid w:val="00B572D0"/>
    <w:rsid w:val="00B60570"/>
    <w:rsid w:val="00B613C7"/>
    <w:rsid w:val="00B6383F"/>
    <w:rsid w:val="00B705CE"/>
    <w:rsid w:val="00B770A3"/>
    <w:rsid w:val="00B80A60"/>
    <w:rsid w:val="00B85DB5"/>
    <w:rsid w:val="00B911AB"/>
    <w:rsid w:val="00B96EA0"/>
    <w:rsid w:val="00BA4C2C"/>
    <w:rsid w:val="00BA5C4C"/>
    <w:rsid w:val="00BB1D54"/>
    <w:rsid w:val="00BB2363"/>
    <w:rsid w:val="00BB2ADF"/>
    <w:rsid w:val="00BB2B1A"/>
    <w:rsid w:val="00BB2B25"/>
    <w:rsid w:val="00BC06FA"/>
    <w:rsid w:val="00BC1ABF"/>
    <w:rsid w:val="00BC4331"/>
    <w:rsid w:val="00BC4AC7"/>
    <w:rsid w:val="00BC637C"/>
    <w:rsid w:val="00BD4FC6"/>
    <w:rsid w:val="00BD568D"/>
    <w:rsid w:val="00BF32F8"/>
    <w:rsid w:val="00BF6908"/>
    <w:rsid w:val="00BF6D41"/>
    <w:rsid w:val="00C00026"/>
    <w:rsid w:val="00C01E3C"/>
    <w:rsid w:val="00C02063"/>
    <w:rsid w:val="00C0755F"/>
    <w:rsid w:val="00C07B73"/>
    <w:rsid w:val="00C10C5E"/>
    <w:rsid w:val="00C1198E"/>
    <w:rsid w:val="00C13F67"/>
    <w:rsid w:val="00C14720"/>
    <w:rsid w:val="00C16562"/>
    <w:rsid w:val="00C24A7E"/>
    <w:rsid w:val="00C24E96"/>
    <w:rsid w:val="00C2637D"/>
    <w:rsid w:val="00C27455"/>
    <w:rsid w:val="00C302A3"/>
    <w:rsid w:val="00C36407"/>
    <w:rsid w:val="00C3764A"/>
    <w:rsid w:val="00C46F64"/>
    <w:rsid w:val="00C54224"/>
    <w:rsid w:val="00C5517E"/>
    <w:rsid w:val="00C569B9"/>
    <w:rsid w:val="00C604CC"/>
    <w:rsid w:val="00C63945"/>
    <w:rsid w:val="00C65933"/>
    <w:rsid w:val="00C661B5"/>
    <w:rsid w:val="00C67045"/>
    <w:rsid w:val="00C70373"/>
    <w:rsid w:val="00C71B40"/>
    <w:rsid w:val="00C8086C"/>
    <w:rsid w:val="00C82BD9"/>
    <w:rsid w:val="00C867AC"/>
    <w:rsid w:val="00C876EE"/>
    <w:rsid w:val="00CA0ABD"/>
    <w:rsid w:val="00CA4695"/>
    <w:rsid w:val="00CB0E92"/>
    <w:rsid w:val="00CB1EDA"/>
    <w:rsid w:val="00CB5418"/>
    <w:rsid w:val="00CB7926"/>
    <w:rsid w:val="00CC1267"/>
    <w:rsid w:val="00CC6E5A"/>
    <w:rsid w:val="00CC7F72"/>
    <w:rsid w:val="00CD1A2A"/>
    <w:rsid w:val="00CD48E3"/>
    <w:rsid w:val="00CD5720"/>
    <w:rsid w:val="00CD6AC0"/>
    <w:rsid w:val="00CE1794"/>
    <w:rsid w:val="00CE3EF7"/>
    <w:rsid w:val="00CE4586"/>
    <w:rsid w:val="00CF0037"/>
    <w:rsid w:val="00CF024F"/>
    <w:rsid w:val="00CF3144"/>
    <w:rsid w:val="00CF38A3"/>
    <w:rsid w:val="00CF3E27"/>
    <w:rsid w:val="00CF5174"/>
    <w:rsid w:val="00CF57E7"/>
    <w:rsid w:val="00CF57EF"/>
    <w:rsid w:val="00CF63BE"/>
    <w:rsid w:val="00CF6DD9"/>
    <w:rsid w:val="00CF7EFB"/>
    <w:rsid w:val="00D00608"/>
    <w:rsid w:val="00D013FB"/>
    <w:rsid w:val="00D05438"/>
    <w:rsid w:val="00D1008D"/>
    <w:rsid w:val="00D15854"/>
    <w:rsid w:val="00D16893"/>
    <w:rsid w:val="00D20AF4"/>
    <w:rsid w:val="00D21F76"/>
    <w:rsid w:val="00D22A1E"/>
    <w:rsid w:val="00D2408B"/>
    <w:rsid w:val="00D25D1D"/>
    <w:rsid w:val="00D329B6"/>
    <w:rsid w:val="00D33C91"/>
    <w:rsid w:val="00D35448"/>
    <w:rsid w:val="00D432E1"/>
    <w:rsid w:val="00D442AB"/>
    <w:rsid w:val="00D467E5"/>
    <w:rsid w:val="00D503B4"/>
    <w:rsid w:val="00D51066"/>
    <w:rsid w:val="00D51576"/>
    <w:rsid w:val="00D65F7D"/>
    <w:rsid w:val="00D705B0"/>
    <w:rsid w:val="00D73CB8"/>
    <w:rsid w:val="00D81418"/>
    <w:rsid w:val="00D8303E"/>
    <w:rsid w:val="00D8376F"/>
    <w:rsid w:val="00D86FB7"/>
    <w:rsid w:val="00D904E5"/>
    <w:rsid w:val="00D90A8C"/>
    <w:rsid w:val="00DA082A"/>
    <w:rsid w:val="00DA5A4E"/>
    <w:rsid w:val="00DB2C91"/>
    <w:rsid w:val="00DB7161"/>
    <w:rsid w:val="00DC2798"/>
    <w:rsid w:val="00DC782C"/>
    <w:rsid w:val="00DD0E9F"/>
    <w:rsid w:val="00DD3305"/>
    <w:rsid w:val="00DD5F26"/>
    <w:rsid w:val="00DD6D52"/>
    <w:rsid w:val="00DD6E74"/>
    <w:rsid w:val="00DE31AE"/>
    <w:rsid w:val="00DE37DC"/>
    <w:rsid w:val="00DE413A"/>
    <w:rsid w:val="00DE51F5"/>
    <w:rsid w:val="00DF3CCC"/>
    <w:rsid w:val="00DF6E0B"/>
    <w:rsid w:val="00E01E0D"/>
    <w:rsid w:val="00E04009"/>
    <w:rsid w:val="00E048FC"/>
    <w:rsid w:val="00E11A56"/>
    <w:rsid w:val="00E120F1"/>
    <w:rsid w:val="00E1410F"/>
    <w:rsid w:val="00E1708E"/>
    <w:rsid w:val="00E17493"/>
    <w:rsid w:val="00E2072B"/>
    <w:rsid w:val="00E2132D"/>
    <w:rsid w:val="00E230E7"/>
    <w:rsid w:val="00E24963"/>
    <w:rsid w:val="00E24DEA"/>
    <w:rsid w:val="00E3093B"/>
    <w:rsid w:val="00E32DCD"/>
    <w:rsid w:val="00E3372A"/>
    <w:rsid w:val="00E41859"/>
    <w:rsid w:val="00E42852"/>
    <w:rsid w:val="00E463EF"/>
    <w:rsid w:val="00E46ADB"/>
    <w:rsid w:val="00E4737C"/>
    <w:rsid w:val="00E54256"/>
    <w:rsid w:val="00E54B9F"/>
    <w:rsid w:val="00E5676E"/>
    <w:rsid w:val="00E61020"/>
    <w:rsid w:val="00E64D64"/>
    <w:rsid w:val="00E66065"/>
    <w:rsid w:val="00E661D1"/>
    <w:rsid w:val="00E67C75"/>
    <w:rsid w:val="00E711E6"/>
    <w:rsid w:val="00E72795"/>
    <w:rsid w:val="00E74224"/>
    <w:rsid w:val="00E75AE8"/>
    <w:rsid w:val="00E8222D"/>
    <w:rsid w:val="00E823CC"/>
    <w:rsid w:val="00E82C1C"/>
    <w:rsid w:val="00E831C0"/>
    <w:rsid w:val="00E832FB"/>
    <w:rsid w:val="00E86DC9"/>
    <w:rsid w:val="00E87ED9"/>
    <w:rsid w:val="00E9047A"/>
    <w:rsid w:val="00E963C8"/>
    <w:rsid w:val="00EA0569"/>
    <w:rsid w:val="00EB0DF1"/>
    <w:rsid w:val="00EB74A7"/>
    <w:rsid w:val="00EC0340"/>
    <w:rsid w:val="00EC134C"/>
    <w:rsid w:val="00EC2688"/>
    <w:rsid w:val="00EC51F6"/>
    <w:rsid w:val="00EC6A73"/>
    <w:rsid w:val="00ED3984"/>
    <w:rsid w:val="00ED5678"/>
    <w:rsid w:val="00ED71ED"/>
    <w:rsid w:val="00ED7C0C"/>
    <w:rsid w:val="00EE72D1"/>
    <w:rsid w:val="00EF14E6"/>
    <w:rsid w:val="00F0223B"/>
    <w:rsid w:val="00F027C8"/>
    <w:rsid w:val="00F07048"/>
    <w:rsid w:val="00F115AC"/>
    <w:rsid w:val="00F13E19"/>
    <w:rsid w:val="00F14B49"/>
    <w:rsid w:val="00F171B7"/>
    <w:rsid w:val="00F25E17"/>
    <w:rsid w:val="00F35B3E"/>
    <w:rsid w:val="00F43561"/>
    <w:rsid w:val="00F45FFF"/>
    <w:rsid w:val="00F46474"/>
    <w:rsid w:val="00F47814"/>
    <w:rsid w:val="00F558E0"/>
    <w:rsid w:val="00F60204"/>
    <w:rsid w:val="00F633C4"/>
    <w:rsid w:val="00F638EE"/>
    <w:rsid w:val="00F6453D"/>
    <w:rsid w:val="00F72274"/>
    <w:rsid w:val="00F734CA"/>
    <w:rsid w:val="00F742CC"/>
    <w:rsid w:val="00F7777D"/>
    <w:rsid w:val="00F80260"/>
    <w:rsid w:val="00F80669"/>
    <w:rsid w:val="00F8165B"/>
    <w:rsid w:val="00F835A0"/>
    <w:rsid w:val="00F83ECE"/>
    <w:rsid w:val="00F90DA9"/>
    <w:rsid w:val="00F91009"/>
    <w:rsid w:val="00F95A58"/>
    <w:rsid w:val="00F9739C"/>
    <w:rsid w:val="00F97C8B"/>
    <w:rsid w:val="00F97D20"/>
    <w:rsid w:val="00FA305B"/>
    <w:rsid w:val="00FA348A"/>
    <w:rsid w:val="00FA3751"/>
    <w:rsid w:val="00FB178C"/>
    <w:rsid w:val="00FB292A"/>
    <w:rsid w:val="00FB753A"/>
    <w:rsid w:val="00FC113C"/>
    <w:rsid w:val="00FC210E"/>
    <w:rsid w:val="00FC2F5B"/>
    <w:rsid w:val="00FC44F3"/>
    <w:rsid w:val="00FC6DD9"/>
    <w:rsid w:val="00FD34A7"/>
    <w:rsid w:val="00FE0852"/>
    <w:rsid w:val="00FE5EC5"/>
    <w:rsid w:val="00FF267F"/>
    <w:rsid w:val="00FF29E0"/>
    <w:rsid w:val="00FF2FBF"/>
    <w:rsid w:val="00FF3F73"/>
    <w:rsid w:val="00FF5349"/>
    <w:rsid w:val="00FF5D5A"/>
    <w:rsid w:val="028F5FB2"/>
    <w:rsid w:val="063E1B5B"/>
    <w:rsid w:val="06BC107A"/>
    <w:rsid w:val="09615D34"/>
    <w:rsid w:val="0AB1C263"/>
    <w:rsid w:val="0F8D9237"/>
    <w:rsid w:val="139C504C"/>
    <w:rsid w:val="142EDB78"/>
    <w:rsid w:val="1464BBFB"/>
    <w:rsid w:val="147FEC61"/>
    <w:rsid w:val="165BF2AA"/>
    <w:rsid w:val="16650B97"/>
    <w:rsid w:val="16BFB49C"/>
    <w:rsid w:val="190AEC1D"/>
    <w:rsid w:val="1984A10C"/>
    <w:rsid w:val="1D50F199"/>
    <w:rsid w:val="1DBBFE45"/>
    <w:rsid w:val="1FEB3770"/>
    <w:rsid w:val="204F7FDB"/>
    <w:rsid w:val="21585642"/>
    <w:rsid w:val="21CDAAAE"/>
    <w:rsid w:val="21F60899"/>
    <w:rsid w:val="2274DD44"/>
    <w:rsid w:val="2369DBD8"/>
    <w:rsid w:val="2645BB28"/>
    <w:rsid w:val="267673A6"/>
    <w:rsid w:val="2833028A"/>
    <w:rsid w:val="29001CC6"/>
    <w:rsid w:val="29BB2D9D"/>
    <w:rsid w:val="2BCE3558"/>
    <w:rsid w:val="2C780EEE"/>
    <w:rsid w:val="2F7FB60D"/>
    <w:rsid w:val="30EE0F63"/>
    <w:rsid w:val="316A41D4"/>
    <w:rsid w:val="326EE667"/>
    <w:rsid w:val="32B645CE"/>
    <w:rsid w:val="350E30FD"/>
    <w:rsid w:val="3687D8E3"/>
    <w:rsid w:val="3B947E88"/>
    <w:rsid w:val="3E8D156B"/>
    <w:rsid w:val="3FD9615E"/>
    <w:rsid w:val="4084AA0D"/>
    <w:rsid w:val="40BD337F"/>
    <w:rsid w:val="412011B2"/>
    <w:rsid w:val="42F55EDC"/>
    <w:rsid w:val="43245633"/>
    <w:rsid w:val="462B0CF8"/>
    <w:rsid w:val="46F871DD"/>
    <w:rsid w:val="48500785"/>
    <w:rsid w:val="49CDF75B"/>
    <w:rsid w:val="4A010ECC"/>
    <w:rsid w:val="4B5BD023"/>
    <w:rsid w:val="4D3CD0FE"/>
    <w:rsid w:val="4DBB5382"/>
    <w:rsid w:val="5026ED36"/>
    <w:rsid w:val="5059CF06"/>
    <w:rsid w:val="591E71F3"/>
    <w:rsid w:val="59444F0B"/>
    <w:rsid w:val="5B6EAFBA"/>
    <w:rsid w:val="5C8B6E22"/>
    <w:rsid w:val="5EB10C96"/>
    <w:rsid w:val="65C9996F"/>
    <w:rsid w:val="68A07349"/>
    <w:rsid w:val="692B4F3F"/>
    <w:rsid w:val="6ABB0278"/>
    <w:rsid w:val="6B843FD1"/>
    <w:rsid w:val="6D68F331"/>
    <w:rsid w:val="6F07C8AE"/>
    <w:rsid w:val="6F95198D"/>
    <w:rsid w:val="6F95D4AD"/>
    <w:rsid w:val="702E6CB1"/>
    <w:rsid w:val="73C95001"/>
    <w:rsid w:val="74A189DC"/>
    <w:rsid w:val="74F0E915"/>
    <w:rsid w:val="75812BC4"/>
    <w:rsid w:val="77C7C1D6"/>
    <w:rsid w:val="780AD84D"/>
    <w:rsid w:val="78E9CAD1"/>
    <w:rsid w:val="79D24C58"/>
    <w:rsid w:val="79D782CD"/>
    <w:rsid w:val="79F95991"/>
    <w:rsid w:val="7A416C54"/>
    <w:rsid w:val="7B0733E2"/>
    <w:rsid w:val="7C0728A1"/>
    <w:rsid w:val="7CD0BBC6"/>
    <w:rsid w:val="7F6449DC"/>
    <w:rsid w:val="7FA5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750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56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BA5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37F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37F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437F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2BA5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437F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437F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437F"/>
    <w:rPr>
      <w:rFonts w:asciiTheme="majorHAnsi" w:eastAsiaTheme="majorEastAsia" w:hAnsiTheme="majorHAnsi" w:cstheme="majorBidi"/>
      <w:b/>
      <w:iCs/>
    </w:rPr>
  </w:style>
  <w:style w:type="paragraph" w:customStyle="1" w:styleId="BodyText1">
    <w:name w:val="Body Text1"/>
    <w:basedOn w:val="Normal"/>
    <w:qFormat/>
    <w:rsid w:val="0017437F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00026"/>
    <w:pPr>
      <w:spacing w:line="240" w:lineRule="auto"/>
      <w:ind w:left="720"/>
      <w:contextualSpacing/>
    </w:pPr>
    <w:rPr>
      <w:rFonts w:ascii="Calibri" w:eastAsiaTheme="minorHAnsi" w:hAnsi="Calibri" w:cs="Calibri"/>
      <w:sz w:val="22"/>
      <w:szCs w:val="2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B23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6851"/>
    <w:rPr>
      <w:color w:val="016574" w:themeColor="followedHyperlink"/>
      <w:u w:val="single"/>
    </w:rPr>
  </w:style>
  <w:style w:type="character" w:customStyle="1" w:styleId="cf01">
    <w:name w:val="cf01"/>
    <w:basedOn w:val="DefaultParagraphFont"/>
    <w:rsid w:val="003E410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0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Mention">
    <w:name w:val="Mention"/>
    <w:basedOn w:val="DefaultParagraphFont"/>
    <w:uiPriority w:val="99"/>
    <w:unhideWhenUsed/>
    <w:rsid w:val="00E963C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scot/binaries/content/documents/govscot/publications/strategy-plan/2023/02/national-planning-framework-4/documents/national-planning-framework-4-revised-draft/national-planning-framework-4-revised-draft/govscot%3Adocument/national-planning-framework-4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qualities@sepa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pa.org.uk/media/nckhycrj/flood-risk-standing-advice.docx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381B2EB137C4B86DDF85555BC66AF" ma:contentTypeVersion="4" ma:contentTypeDescription="Create a new document." ma:contentTypeScope="" ma:versionID="85eaa319ccbcda6b21c4eeff0d65d4d6">
  <xsd:schema xmlns:xsd="http://www.w3.org/2001/XMLSchema" xmlns:xs="http://www.w3.org/2001/XMLSchema" xmlns:p="http://schemas.microsoft.com/office/2006/metadata/properties" xmlns:ns2="009e2aea-6001-41d0-9dbc-b02d140c746f" targetNamespace="http://schemas.microsoft.com/office/2006/metadata/properties" ma:root="true" ma:fieldsID="88aaed57559693a12c90903e36ff287d" ns2:_="">
    <xsd:import namespace="009e2aea-6001-41d0-9dbc-b02d140c7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2aea-6001-41d0-9dbc-b02d140c7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13F2D-C21E-4D38-B857-7A5BCC97A646}">
  <ds:schemaRefs>
    <ds:schemaRef ds:uri="009e2aea-6001-41d0-9dbc-b02d140c746f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F53AD-948B-49E4-A825-C6D4C9C6E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e2aea-6001-41d0-9dbc-b02d140c7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569FB5-5019-49F2-B374-A373ACA85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2025-05-27T12:52:00Z</dcterms:created>
  <dcterms:modified xsi:type="dcterms:W3CDTF">2025-05-27T12:52:00Z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4f274910,6cb43d63,48c41a73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3ea04e1b,125d1c99,6b4ff45a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2025-05-27T10:45:53Z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c78bbd28-06f8-4ad2-9ce2-6b5858e26eaa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MSIP_Label_ea4fd52f-9814-4cae-aa53-0ea7b16cd381_Tag">
    <vt:lpwstr>10, 0, 1, 1</vt:lpwstr>
  </property>
  <property fmtid="{D5CDD505-2E9C-101B-9397-08002B2CF9AE}" pid="16" name="ContentTypeId">
    <vt:lpwstr>0x0101000FC381B2EB137C4B86DDF85555BC66AF</vt:lpwstr>
  </property>
  <property fmtid="{D5CDD505-2E9C-101B-9397-08002B2CF9AE}" pid="17" name="k30a802c90584b64ac3ae896c6a1ef3a">
    <vt:lpwstr>Water ＆ Planning|0d1d59ad-1350-46a3-ac76-da49d5b2c88d</vt:lpwstr>
  </property>
  <property fmtid="{D5CDD505-2E9C-101B-9397-08002B2CF9AE}" pid="18" name="TaxCatchAll">
    <vt:lpwstr>2;#Water ＆ Planning|0d1d59ad-1350-46a3-ac76-da49d5b2c88d</vt:lpwstr>
  </property>
  <property fmtid="{D5CDD505-2E9C-101B-9397-08002B2CF9AE}" pid="19" name="sepaIAODept">
    <vt:lpwstr>2;#Water ＆ Planning|0d1d59ad-1350-46a3-ac76-da49d5b2c88d</vt:lpwstr>
  </property>
</Properties>
</file>